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3"/>
      </w:tblGrid>
      <w:tr w:rsidR="002C584C" w:rsidRPr="00F578DF" w14:paraId="79B51201" w14:textId="77777777" w:rsidTr="00F578DF">
        <w:tc>
          <w:tcPr>
            <w:tcW w:w="2500" w:type="pct"/>
          </w:tcPr>
          <w:p w14:paraId="2F10DA17" w14:textId="77777777" w:rsidR="002C584C" w:rsidRPr="00CA72D8" w:rsidRDefault="007744E9" w:rsidP="00CA72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2D8">
              <w:rPr>
                <w:rFonts w:ascii="Times New Roman" w:hAnsi="Times New Roman" w:cs="Times New Roman"/>
                <w:sz w:val="20"/>
                <w:szCs w:val="20"/>
              </w:rPr>
              <w:t>УДК 620</w:t>
            </w:r>
          </w:p>
          <w:p w14:paraId="348B82B1" w14:textId="77777777" w:rsidR="002C584C" w:rsidRPr="00CA72D8" w:rsidRDefault="002C584C" w:rsidP="00CA72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D545D93" w14:textId="7CC652D2" w:rsidR="0093232F" w:rsidRDefault="00E62B85" w:rsidP="00CA72D8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62B85">
              <w:rPr>
                <w:rFonts w:ascii="Times New Roman" w:hAnsi="Times New Roman" w:cs="Times New Roman"/>
                <w:iCs/>
                <w:sz w:val="20"/>
                <w:szCs w:val="20"/>
              </w:rPr>
              <w:t>4.3.1. Технологии, машины и оборудование для агропромышленного комплекса (технические науки, сельскохозяйственные науки)</w:t>
            </w:r>
          </w:p>
          <w:p w14:paraId="5F6433BB" w14:textId="77777777" w:rsidR="00E62B85" w:rsidRPr="00E62B85" w:rsidRDefault="00E62B85" w:rsidP="00CA72D8">
            <w:pPr>
              <w:rPr>
                <w:rFonts w:ascii="Times New Roman" w:hAnsi="Times New Roman" w:cs="Times New Roman"/>
                <w:sz w:val="20"/>
                <w:szCs w:val="20"/>
                <w:lang w:val="en-RU"/>
              </w:rPr>
            </w:pPr>
          </w:p>
          <w:p w14:paraId="78968EBD" w14:textId="77777777" w:rsidR="002C584C" w:rsidRPr="00CA72D8" w:rsidRDefault="001357D9" w:rsidP="00CA72D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72D8">
              <w:rPr>
                <w:rFonts w:ascii="Times New Roman" w:hAnsi="Times New Roman" w:cs="Times New Roman"/>
                <w:b/>
                <w:sz w:val="20"/>
                <w:szCs w:val="20"/>
              </w:rPr>
              <w:t>МЕТОДЫ РАСЧЕТА ПЛОТНОСТИ БЕНЗИНОВЫХ НЕФТЯНЫХ ФРАКЦИЙ</w:t>
            </w:r>
          </w:p>
          <w:p w14:paraId="42EEEDA8" w14:textId="77777777" w:rsidR="002C584C" w:rsidRPr="00CA72D8" w:rsidRDefault="002C584C" w:rsidP="00CA72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3202FC1" w14:textId="77777777" w:rsidR="002C584C" w:rsidRPr="00CA72D8" w:rsidRDefault="007744E9" w:rsidP="00CA72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2D8">
              <w:rPr>
                <w:rFonts w:ascii="Times New Roman" w:hAnsi="Times New Roman" w:cs="Times New Roman"/>
                <w:sz w:val="20"/>
                <w:szCs w:val="20"/>
              </w:rPr>
              <w:t>Харченко Павел Михайлович</w:t>
            </w:r>
          </w:p>
          <w:p w14:paraId="64D4E444" w14:textId="77777777" w:rsidR="002C584C" w:rsidRPr="00CA72D8" w:rsidRDefault="007744E9" w:rsidP="00CA72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2D8">
              <w:rPr>
                <w:rFonts w:ascii="Times New Roman" w:hAnsi="Times New Roman" w:cs="Times New Roman"/>
                <w:sz w:val="20"/>
                <w:szCs w:val="20"/>
              </w:rPr>
              <w:t>к.т.н., доцент, доцент кафедры</w:t>
            </w:r>
          </w:p>
          <w:p w14:paraId="7807A6E2" w14:textId="77777777" w:rsidR="00F578DF" w:rsidRDefault="007744E9" w:rsidP="00CA72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2D8">
              <w:rPr>
                <w:rFonts w:ascii="Times New Roman" w:hAnsi="Times New Roman" w:cs="Times New Roman"/>
                <w:sz w:val="20"/>
                <w:szCs w:val="20"/>
              </w:rPr>
              <w:t>SPIN-код 4075-3151</w:t>
            </w:r>
          </w:p>
          <w:p w14:paraId="5645E6C9" w14:textId="2BDF4964" w:rsidR="002C584C" w:rsidRPr="00CA72D8" w:rsidRDefault="007744E9" w:rsidP="00CA72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2D8">
              <w:rPr>
                <w:rFonts w:ascii="Times New Roman" w:hAnsi="Times New Roman" w:cs="Times New Roman"/>
                <w:sz w:val="20"/>
                <w:szCs w:val="20"/>
              </w:rPr>
              <w:t>1960324@mail.ru</w:t>
            </w:r>
          </w:p>
          <w:p w14:paraId="52B37DF1" w14:textId="77777777" w:rsidR="002C584C" w:rsidRPr="00F578DF" w:rsidRDefault="002C584C" w:rsidP="00CA72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C2A29E" w14:textId="77777777" w:rsidR="002C584C" w:rsidRPr="00CA72D8" w:rsidRDefault="007744E9" w:rsidP="00CA72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2D8">
              <w:rPr>
                <w:rFonts w:ascii="Times New Roman" w:hAnsi="Times New Roman" w:cs="Times New Roman"/>
                <w:sz w:val="20"/>
                <w:szCs w:val="20"/>
              </w:rPr>
              <w:t>Карпенко Владимир Денисович</w:t>
            </w:r>
          </w:p>
          <w:p w14:paraId="23E575C5" w14:textId="77777777" w:rsidR="002C584C" w:rsidRPr="00CA72D8" w:rsidRDefault="007744E9" w:rsidP="00CA72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2D8">
              <w:rPr>
                <w:rFonts w:ascii="Times New Roman" w:hAnsi="Times New Roman" w:cs="Times New Roman"/>
                <w:sz w:val="20"/>
                <w:szCs w:val="20"/>
              </w:rPr>
              <w:t>к.т.н., доцент, старший научный сотрудник</w:t>
            </w:r>
          </w:p>
          <w:p w14:paraId="34E3CF79" w14:textId="77777777" w:rsidR="002C584C" w:rsidRPr="00F578DF" w:rsidRDefault="002C584C" w:rsidP="00CA72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DB0B3E" w14:textId="77777777" w:rsidR="002C584C" w:rsidRPr="00CA72D8" w:rsidRDefault="007744E9" w:rsidP="00CA72D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A72D8">
              <w:rPr>
                <w:rFonts w:ascii="Times New Roman" w:hAnsi="Times New Roman" w:cs="Times New Roman"/>
                <w:i/>
                <w:sz w:val="20"/>
                <w:szCs w:val="20"/>
              </w:rPr>
              <w:t>ФГБОУ ВПО Кубанский государственный</w:t>
            </w:r>
            <w:r w:rsidR="00CA72D8" w:rsidRPr="00CA72D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CA72D8">
              <w:rPr>
                <w:rFonts w:ascii="Times New Roman" w:hAnsi="Times New Roman" w:cs="Times New Roman"/>
                <w:i/>
                <w:sz w:val="20"/>
                <w:szCs w:val="20"/>
              </w:rPr>
              <w:t>аграрный университет, Краснодар, Россия</w:t>
            </w:r>
          </w:p>
          <w:p w14:paraId="524B0FCE" w14:textId="77777777" w:rsidR="002C584C" w:rsidRPr="00CA72D8" w:rsidRDefault="002C584C" w:rsidP="00CA72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AA3A37" w14:textId="6D960C4C" w:rsidR="002C584C" w:rsidRPr="00CA72D8" w:rsidRDefault="007744E9" w:rsidP="00CA72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2D8">
              <w:rPr>
                <w:rFonts w:ascii="Times New Roman" w:hAnsi="Times New Roman" w:cs="Times New Roman"/>
                <w:sz w:val="20"/>
                <w:szCs w:val="20"/>
              </w:rPr>
              <w:t>В статье приведены расчеты плотности бензиновых нефтяных фракций в настоящее время наибольшее распространение получили эмпирические и полуэмпирические методы.</w:t>
            </w:r>
            <w:r w:rsidR="0093232F" w:rsidRPr="009323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A72D8">
              <w:rPr>
                <w:rFonts w:ascii="Times New Roman" w:hAnsi="Times New Roman" w:cs="Times New Roman"/>
                <w:sz w:val="20"/>
                <w:szCs w:val="20"/>
              </w:rPr>
              <w:t>Для расчета плотности бензиновых нефтяных фракций при давлении до 350МПа используется нормограмма API. По оценке авторов наибольшая погрешность расчетов оценивается в 2%. Авторами была проверена применимость этой методики для нефтей и нефтепродуктов различных месторождений Советского Союза. Отмечается, что средние отклонения результатов расчета от экспериментальных достигали 7-10%, и даже выше.</w:t>
            </w:r>
            <w:r w:rsidR="000046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A72D8">
              <w:rPr>
                <w:rFonts w:ascii="Times New Roman" w:hAnsi="Times New Roman" w:cs="Times New Roman"/>
                <w:sz w:val="20"/>
                <w:szCs w:val="20"/>
              </w:rPr>
              <w:t>Большой экспериментальный материал по исследованию плотности нефтей и бензиновых нефтяных фракций был накоплен в работах Отраслевой телофизической лаборатории Грозненского нефтяного института.</w:t>
            </w:r>
            <w:r w:rsidR="00CA72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A72D8">
              <w:rPr>
                <w:rFonts w:ascii="Times New Roman" w:hAnsi="Times New Roman" w:cs="Times New Roman"/>
                <w:sz w:val="20"/>
                <w:szCs w:val="20"/>
              </w:rPr>
              <w:t>Большой экспериментальный материал по исследованию плотности нефтей и бензиновых нефтяных фракций был накоплен в работах Отраслевой телофизической лаборатории Грозненского нефтяного института.</w:t>
            </w:r>
            <w:r w:rsidR="00CA72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A72D8">
              <w:rPr>
                <w:rFonts w:ascii="Times New Roman" w:hAnsi="Times New Roman" w:cs="Times New Roman"/>
                <w:sz w:val="20"/>
                <w:szCs w:val="20"/>
              </w:rPr>
              <w:t>Измерения проводились в интервале температур 293÷623 К и давлении 0,1-60 МПа. Относительная погрешность расчета плотности по уравнению в сравнении с экспериментальными данными составила 0,2-0,3%.Указанные выше уравнения предназначены для расчета плотности нефтей и нефтепродуктов в жидкой фазе вдали от линии насыщения. Считается, что они непригодны для описания плотности вблизи и на самой линии фазового перехода.</w:t>
            </w:r>
            <w:r w:rsidR="00CA72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A72D8">
              <w:rPr>
                <w:rFonts w:ascii="Times New Roman" w:hAnsi="Times New Roman" w:cs="Times New Roman"/>
                <w:sz w:val="20"/>
                <w:szCs w:val="20"/>
              </w:rPr>
              <w:t>Указанные выше уравнения предназначены для расчета плотности нефтей и бензиновых нефтяных фракций в жидкой фазе вдали от линии насыщения. Считается, что они непригодны для описания плотности вблизи и на самой линии фазового перехода</w:t>
            </w:r>
          </w:p>
          <w:p w14:paraId="3188046E" w14:textId="77777777" w:rsidR="002C584C" w:rsidRPr="00CA72D8" w:rsidRDefault="002C584C" w:rsidP="00CA72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E1080C9" w14:textId="77777777" w:rsidR="00884F46" w:rsidRDefault="00CA72D8" w:rsidP="009323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2D8">
              <w:rPr>
                <w:rFonts w:ascii="Times New Roman" w:hAnsi="Times New Roman" w:cs="Times New Roman"/>
                <w:sz w:val="20"/>
                <w:szCs w:val="20"/>
              </w:rPr>
              <w:t xml:space="preserve">Ключевые слова: БЕНЗИНОВЫЕ НЕФТЯНЫЕ </w:t>
            </w:r>
            <w:r w:rsidRPr="00CA72D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ФРАКЦИИ, ПЛОТНОСТЬ, ЭКСПЕРИМЕНТАЛЬНЫЕ ДАННЫЕ, РЕПЕРНОЕ ЗНАЧЕНИЕ, ТЕМПЕРАТУРНАЯ ЗАВИСИМОСТЬ, РАСЧЕТЫ</w:t>
            </w:r>
          </w:p>
          <w:p w14:paraId="67B7776E" w14:textId="77777777" w:rsidR="00F578DF" w:rsidRDefault="00F578DF" w:rsidP="00932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1ECF7F" w14:textId="35E53576" w:rsidR="00F578DF" w:rsidRPr="00CA72D8" w:rsidRDefault="00F578DF" w:rsidP="009323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Pr="007B39CD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http://dx.doi.org/10.21515/1990-4665-190-0</w:t>
              </w:r>
              <w:r w:rsidRPr="007B39CD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20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500" w:type="pct"/>
          </w:tcPr>
          <w:p w14:paraId="1B0B0551" w14:textId="77777777" w:rsidR="002C584C" w:rsidRPr="001357D9" w:rsidRDefault="007744E9" w:rsidP="00CA72D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357D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UDC 620</w:t>
            </w:r>
          </w:p>
          <w:p w14:paraId="10D7C786" w14:textId="77777777" w:rsidR="002C584C" w:rsidRPr="001357D9" w:rsidRDefault="002C584C" w:rsidP="00CA72D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10E2404" w14:textId="767C0B15" w:rsidR="002C584C" w:rsidRDefault="00E62B85" w:rsidP="00CA72D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62B8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4.3.1. Technologies, machinery and equipment for the agro-industrial complex (technical sciences, agricultural sciences)</w:t>
            </w:r>
          </w:p>
          <w:p w14:paraId="56887A1B" w14:textId="77777777" w:rsidR="0093232F" w:rsidRDefault="0093232F" w:rsidP="00CA72D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A755901" w14:textId="77777777" w:rsidR="002C584C" w:rsidRPr="00CA72D8" w:rsidRDefault="001357D9" w:rsidP="00CA72D8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CA72D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METHODS FOR CALCULATING THE DENSITY OF GASOLINE OIL FRACTIONS</w:t>
            </w:r>
          </w:p>
          <w:p w14:paraId="72E45460" w14:textId="77777777" w:rsidR="002C584C" w:rsidRPr="00CA72D8" w:rsidRDefault="002C584C" w:rsidP="00CA72D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C85DEFC" w14:textId="77777777" w:rsidR="002C584C" w:rsidRPr="00F578DF" w:rsidRDefault="007744E9" w:rsidP="00CA72D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78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Kharchenko Pavel Mikhailovich</w:t>
            </w:r>
          </w:p>
          <w:p w14:paraId="7CCAF341" w14:textId="301A8E4C" w:rsidR="002C584C" w:rsidRPr="00F578DF" w:rsidRDefault="007744E9" w:rsidP="00CA72D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78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Cand</w:t>
            </w:r>
            <w:r w:rsidR="00F578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.Tech.Sci.</w:t>
            </w:r>
            <w:r w:rsidRPr="00F578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associate professor </w:t>
            </w:r>
          </w:p>
          <w:p w14:paraId="57013F9D" w14:textId="77777777" w:rsidR="00F578DF" w:rsidRDefault="00F578DF" w:rsidP="00CA72D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RSCI </w:t>
            </w:r>
            <w:r w:rsidR="007744E9" w:rsidRPr="00F578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SPIN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 w:rsidR="007744E9" w:rsidRPr="00F578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code 4075-3151</w:t>
            </w:r>
          </w:p>
          <w:p w14:paraId="10E2F323" w14:textId="1A70568F" w:rsidR="002C584C" w:rsidRPr="00F578DF" w:rsidRDefault="007744E9" w:rsidP="00CA72D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78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1960324@mail.ru</w:t>
            </w:r>
          </w:p>
          <w:p w14:paraId="6D963631" w14:textId="77777777" w:rsidR="002C584C" w:rsidRPr="00F578DF" w:rsidRDefault="002C584C" w:rsidP="00CA72D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6A9E3A6" w14:textId="77777777" w:rsidR="002C584C" w:rsidRPr="00F578DF" w:rsidRDefault="007744E9" w:rsidP="00CA72D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78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Karpenko Vladimir Denisovich</w:t>
            </w:r>
          </w:p>
          <w:p w14:paraId="2E8F15DF" w14:textId="124148E4" w:rsidR="002C584C" w:rsidRPr="00F578DF" w:rsidRDefault="007744E9" w:rsidP="00CA72D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78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Cand</w:t>
            </w:r>
            <w:r w:rsidR="00F578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.Tech.Sci.</w:t>
            </w:r>
            <w:r w:rsidRPr="00F578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associate </w:t>
            </w:r>
          </w:p>
          <w:p w14:paraId="4246D930" w14:textId="77777777" w:rsidR="002C584C" w:rsidRPr="00F578DF" w:rsidRDefault="007744E9" w:rsidP="00CA72D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78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professor, senior researcher</w:t>
            </w:r>
          </w:p>
          <w:p w14:paraId="2A5B0F84" w14:textId="77777777" w:rsidR="002C584C" w:rsidRPr="00F578DF" w:rsidRDefault="007744E9" w:rsidP="00CA72D8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F578DF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Kuban State Agrarian University, Krasnodar, Russia</w:t>
            </w:r>
          </w:p>
          <w:p w14:paraId="026F1698" w14:textId="77777777" w:rsidR="002C584C" w:rsidRPr="00F578DF" w:rsidRDefault="002C584C" w:rsidP="00CA72D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AC27E50" w14:textId="77777777" w:rsidR="002C584C" w:rsidRPr="00F578DF" w:rsidRDefault="002C584C" w:rsidP="00CA72D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274ACA4" w14:textId="16F1123F" w:rsidR="002C584C" w:rsidRPr="00F578DF" w:rsidRDefault="007744E9" w:rsidP="00CA72D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78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In this article </w:t>
            </w:r>
            <w:r w:rsidR="00F578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 give</w:t>
            </w:r>
            <w:r w:rsidRPr="00F578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descriptions to calculate the density of gasoline-oil fractions, empirical and semi-empirical methods are currently most widely used. To calculate the density of gasoline-oil fractions at pressures up to 350 MPa, the API normogram is used.</w:t>
            </w:r>
            <w:r w:rsidR="00F578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F578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According to the authors, the largest calculation error is estimated at 2%. The authors tested the applicability of this technique for oils and gasoline-oil fractions of various fields of the Soviet Union. It is noted that the average deviations of the calculation results from the experimental ones reached 7-10%, and even higher.</w:t>
            </w:r>
            <w:r w:rsidR="00F578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F578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 large amount of experimental material on the study of the density of oils and gasoline-oil fractions was accumulated in the works of the Industrial Telephysical Laboratory</w:t>
            </w:r>
            <w:r w:rsidR="00F578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of </w:t>
            </w:r>
            <w:r w:rsidRPr="00F578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Grozny Oil Institute. A large experimental material on the study of the density of oils and gasoline-oil fractions was accumulated in the works of the Industrial Telephysical Laboratory of the Grozny Oil Institute. The measurements were carried out in the temperature range 293÷623 K and pressure 0.1-60 MPa.</w:t>
            </w:r>
            <w:r w:rsidR="00F578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F578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relative error in calculating the density according to the equation in comparison with the experimental data was 0.2-0.3%. The above equations are designed to calculate the density of oils and gasoline-oil fractions in the liquid phase far from the saturation line. It is believed that they are unsuitable for describing the density near and on the phase transition line itself.</w:t>
            </w:r>
            <w:r w:rsidR="00F578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F578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above equations are designed to calculate the density of oils and gasoline-petroleum fractions in the liquid phase away from the saturation line. It is believed that they are unsuitable for describing the density near and on the phase transition line itself</w:t>
            </w:r>
          </w:p>
          <w:p w14:paraId="210FD770" w14:textId="77777777" w:rsidR="00CA72D8" w:rsidRPr="00F578DF" w:rsidRDefault="00CA72D8" w:rsidP="00CA72D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7C89E94" w14:textId="77777777" w:rsidR="00CA72D8" w:rsidRPr="00F578DF" w:rsidRDefault="00CA72D8" w:rsidP="00CA72D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6788B20" w14:textId="77777777" w:rsidR="00CA72D8" w:rsidRDefault="00CA72D8" w:rsidP="00CA72D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97E321A" w14:textId="77777777" w:rsidR="0093232F" w:rsidRDefault="0093232F" w:rsidP="00CA72D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954E35E" w14:textId="77777777" w:rsidR="0093232F" w:rsidRPr="0093232F" w:rsidRDefault="0093232F" w:rsidP="00CA72D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08A35169" w14:textId="77777777" w:rsidR="00CA72D8" w:rsidRPr="00F578DF" w:rsidRDefault="00CA72D8" w:rsidP="00CA72D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C76EED3" w14:textId="77777777" w:rsidR="002C584C" w:rsidRPr="00F578DF" w:rsidRDefault="00CA72D8" w:rsidP="0093232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78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Keywords: GASOLINE OIL FRACTIONS, </w:t>
            </w:r>
            <w:r w:rsidRPr="00F578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DENSITY, EXPERIMENTAL DATA, REFERENCE VALUE, TEMPERATURE DEPENDENCE, CALCULATIONS</w:t>
            </w:r>
          </w:p>
        </w:tc>
      </w:tr>
    </w:tbl>
    <w:p w14:paraId="3280AC39" w14:textId="77777777" w:rsidR="002C584C" w:rsidRPr="00CA72D8" w:rsidRDefault="002C584C">
      <w:pPr>
        <w:pStyle w:val="NormalWeb"/>
        <w:spacing w:before="0" w:beforeAutospacing="0" w:after="0" w:line="360" w:lineRule="auto"/>
        <w:ind w:left="709"/>
        <w:jc w:val="both"/>
        <w:rPr>
          <w:sz w:val="28"/>
          <w:szCs w:val="28"/>
          <w:lang w:val="en-US"/>
        </w:rPr>
      </w:pPr>
    </w:p>
    <w:p w14:paraId="0D5BC3ED" w14:textId="77777777" w:rsidR="002C584C" w:rsidRDefault="007744E9">
      <w:pPr>
        <w:pStyle w:val="NormalWeb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расчета плотности бензиновых нефтяных фракций в настоящее время наибольшее распространение получили эмпирические и полуэмпирические методы.</w:t>
      </w:r>
    </w:p>
    <w:p w14:paraId="14781DF0" w14:textId="77777777" w:rsidR="002C584C" w:rsidRDefault="007744E9">
      <w:pPr>
        <w:pStyle w:val="NormalWeb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Американский нефтяной институт (</w:t>
      </w:r>
      <w:r>
        <w:rPr>
          <w:sz w:val="28"/>
          <w:szCs w:val="28"/>
          <w:lang w:val="en-US"/>
        </w:rPr>
        <w:t>API</w:t>
      </w:r>
      <w:r w:rsidR="00F85A91">
        <w:rPr>
          <w:sz w:val="28"/>
          <w:szCs w:val="28"/>
        </w:rPr>
        <w:t>) [1</w:t>
      </w:r>
      <w:r>
        <w:rPr>
          <w:sz w:val="28"/>
          <w:szCs w:val="28"/>
        </w:rPr>
        <w:t>] и термодинамический центр ВНИИПКНЕФТЕХИМА [</w:t>
      </w:r>
      <w:r w:rsidR="00F85A91">
        <w:rPr>
          <w:sz w:val="28"/>
          <w:szCs w:val="28"/>
        </w:rPr>
        <w:t>1</w:t>
      </w:r>
      <w:r>
        <w:rPr>
          <w:sz w:val="28"/>
          <w:szCs w:val="28"/>
        </w:rPr>
        <w:t>] для вычисления плотности нефтяных фракций при атмосферном давлении и температуре 138</w:t>
      </w:r>
      <w:r>
        <w:rPr>
          <w:sz w:val="28"/>
          <w:szCs w:val="28"/>
        </w:rPr>
        <w:sym w:font="Symbol" w:char="F0B8"/>
      </w:r>
      <w:r>
        <w:rPr>
          <w:sz w:val="28"/>
          <w:szCs w:val="28"/>
        </w:rPr>
        <w:t xml:space="preserve">723К рекомендуют использовать нормограмму </w:t>
      </w:r>
      <w:r>
        <w:rPr>
          <w:sz w:val="28"/>
          <w:szCs w:val="28"/>
          <w:lang w:val="en-US"/>
        </w:rPr>
        <w:t>API</w:t>
      </w:r>
      <w:r>
        <w:rPr>
          <w:sz w:val="28"/>
          <w:szCs w:val="28"/>
        </w:rPr>
        <w:t>, для использования которой требуется знание атмосферной плотности ƿ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  <w:vertAlign w:val="superscript"/>
        </w:rPr>
        <w:t xml:space="preserve">20 </w:t>
      </w:r>
      <w:r>
        <w:rPr>
          <w:sz w:val="28"/>
          <w:szCs w:val="28"/>
        </w:rPr>
        <w:t>и характеристического фактора К. Ошибка расчета плотности достигает 2%.</w:t>
      </w:r>
    </w:p>
    <w:p w14:paraId="5F213490" w14:textId="77777777" w:rsidR="002C584C" w:rsidRDefault="007744E9">
      <w:pPr>
        <w:pStyle w:val="NormalWeb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Существенным недостатком методики является нестыковка двух частей нормограммы при ƿ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  <w:vertAlign w:val="superscript"/>
        </w:rPr>
        <w:t>20</w:t>
      </w:r>
      <w:r>
        <w:rPr>
          <w:sz w:val="28"/>
          <w:szCs w:val="28"/>
        </w:rPr>
        <w:t>=0,85 по плотности в пределах 2,7%.</w:t>
      </w:r>
    </w:p>
    <w:p w14:paraId="17EA50E1" w14:textId="77777777" w:rsidR="002C584C" w:rsidRDefault="007744E9">
      <w:pPr>
        <w:pStyle w:val="NormalWeb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ряде случаев для расчета температурной зависимости плотности бензиновых нефтяных фракций применяют уравнение [</w:t>
      </w:r>
      <w:r w:rsidR="00F85A91">
        <w:rPr>
          <w:sz w:val="28"/>
          <w:szCs w:val="28"/>
        </w:rPr>
        <w:t>1</w:t>
      </w:r>
      <w:r>
        <w:rPr>
          <w:sz w:val="28"/>
          <w:szCs w:val="28"/>
        </w:rPr>
        <w:t>] вида:</w:t>
      </w:r>
    </w:p>
    <w:p w14:paraId="132D960B" w14:textId="77777777" w:rsidR="002C584C" w:rsidRDefault="007744E9">
      <w:pPr>
        <w:pStyle w:val="NormalWeb"/>
        <w:tabs>
          <w:tab w:val="center" w:pos="3969"/>
          <w:tab w:val="center" w:pos="8505"/>
        </w:tabs>
        <w:spacing w:before="0" w:beforeAutospacing="0" w:after="0"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ρ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t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ρ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-</m:t>
        </m:r>
        <m:sSup>
          <m:sSupPr>
            <m:ctrlPr>
              <w:rPr>
                <w:rFonts w:ascii="Cambria Math" w:hAnsi="Cambria Math"/>
                <w:sz w:val="28"/>
                <w:szCs w:val="28"/>
                <w:vertAlign w:val="superscript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ɣ</m:t>
            </m:r>
          </m:e>
          <m:sup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vertAlign w:val="superscript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  <w:vertAlign w:val="superscript"/>
                  </w:rPr>
                  <m:t>t-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vertAlign w:val="superscript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vertAlign w:val="superscript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vertAlign w:val="superscript"/>
                      </w:rPr>
                      <m:t>0</m:t>
                    </m:r>
                  </m:sub>
                </m:sSub>
              </m:e>
            </m:d>
          </m:sup>
        </m:sSup>
        <m:r>
          <m:rPr>
            <m:sty m:val="p"/>
          </m:rPr>
          <w:rPr>
            <w:rFonts w:ascii="Cambria Math" w:hAnsi="Cambria Math"/>
            <w:sz w:val="28"/>
            <w:szCs w:val="28"/>
            <w:vertAlign w:val="superscript"/>
          </w:rPr>
          <m:t xml:space="preserve"> </m:t>
        </m:r>
      </m:oMath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ab/>
        <w:t>(1)</w:t>
      </w:r>
    </w:p>
    <w:p w14:paraId="56E1D05A" w14:textId="77777777" w:rsidR="002C584C" w:rsidRDefault="007744E9">
      <w:pPr>
        <w:pStyle w:val="NormalWeb"/>
        <w:spacing w:before="0" w:beforeAutospacing="0" w:after="0" w:line="360" w:lineRule="auto"/>
        <w:ind w:firstLine="709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</w:rPr>
        <w:t>где ƿ</w:t>
      </w:r>
      <w:r>
        <w:rPr>
          <w:sz w:val="28"/>
          <w:szCs w:val="28"/>
          <w:vertAlign w:val="subscript"/>
        </w:rPr>
        <w:t>0 —</w:t>
      </w:r>
      <w:r>
        <w:rPr>
          <w:sz w:val="28"/>
          <w:szCs w:val="28"/>
        </w:rPr>
        <w:t xml:space="preserve"> опорное значение плотности при температуре 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>, кг/м</w:t>
      </w:r>
      <w:r>
        <w:rPr>
          <w:sz w:val="28"/>
          <w:szCs w:val="28"/>
          <w:vertAlign w:val="superscript"/>
        </w:rPr>
        <w:t xml:space="preserve">3 </w:t>
      </w:r>
    </w:p>
    <w:p w14:paraId="3002FAEB" w14:textId="77777777" w:rsidR="002C584C" w:rsidRDefault="007744E9">
      <w:pPr>
        <w:pStyle w:val="NormalWeb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(как правило 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>=20°С</w:t>
      </w:r>
      <w:r w:rsidRPr="007744E9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14:paraId="7D60C443" w14:textId="77777777" w:rsidR="002C584C" w:rsidRDefault="007744E9">
      <w:pPr>
        <w:pStyle w:val="NormalWeb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ɣ — температурная поправка плотности, кг/м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·2рад.</w:t>
      </w:r>
    </w:p>
    <w:p w14:paraId="045635B4" w14:textId="77777777" w:rsidR="002C584C" w:rsidRDefault="007744E9">
      <w:pPr>
        <w:pStyle w:val="NormalWeb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расчета ɣ рекомендуется формула [</w:t>
      </w:r>
      <w:r w:rsidR="00F85A91">
        <w:rPr>
          <w:sz w:val="28"/>
          <w:szCs w:val="28"/>
        </w:rPr>
        <w:t>1</w:t>
      </w:r>
      <w:r>
        <w:rPr>
          <w:sz w:val="28"/>
          <w:szCs w:val="28"/>
        </w:rPr>
        <w:t>]</w:t>
      </w:r>
      <w:r w:rsidR="00F85A91">
        <w:rPr>
          <w:sz w:val="28"/>
          <w:szCs w:val="28"/>
        </w:rPr>
        <w:t xml:space="preserve"> :</w:t>
      </w:r>
    </w:p>
    <w:p w14:paraId="7A56FB80" w14:textId="77777777" w:rsidR="002C584C" w:rsidRDefault="007744E9">
      <w:pPr>
        <w:pStyle w:val="NormalWeb"/>
        <w:tabs>
          <w:tab w:val="center" w:pos="3261"/>
          <w:tab w:val="left" w:pos="5796"/>
          <w:tab w:val="center" w:pos="8505"/>
        </w:tabs>
        <w:spacing w:before="0" w:beforeAutospacing="0" w:after="0"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ab/>
        <w:t>ɣ=</w:t>
      </w:r>
      <w:r>
        <w:rPr>
          <w:i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1.706-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43.65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M∙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E</m:t>
                    </m:r>
                  </m:sub>
                </m:sSub>
              </m:den>
            </m:f>
          </m:den>
        </m:f>
      </m:oMath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  <w:t>(2)</w:t>
      </w:r>
    </w:p>
    <w:p w14:paraId="75FB57C8" w14:textId="77777777" w:rsidR="002C584C" w:rsidRDefault="007744E9">
      <w:pPr>
        <w:pStyle w:val="NormalWeb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  <w:vertAlign w:val="subscript"/>
          <w:lang w:val="en-US"/>
        </w:rPr>
        <w:t>E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 - удельная рефракция по Эйкману, определяемая по формуле [8]</w:t>
      </w:r>
    </w:p>
    <w:p w14:paraId="46637E47" w14:textId="77777777" w:rsidR="002C584C" w:rsidRDefault="007744E9">
      <w:pPr>
        <w:pStyle w:val="NormalWeb"/>
        <w:tabs>
          <w:tab w:val="center" w:pos="3686"/>
        </w:tabs>
        <w:spacing w:before="0" w:beforeAutospacing="0" w:after="0" w:line="360" w:lineRule="auto"/>
        <w:ind w:firstLine="709"/>
        <w:jc w:val="center"/>
        <w:rPr>
          <w:i/>
          <w:sz w:val="28"/>
          <w:szCs w:val="28"/>
          <w:vertAlign w:val="subscript"/>
        </w:rPr>
      </w:pPr>
      <w:r>
        <w:rPr>
          <w:sz w:val="28"/>
          <w:szCs w:val="28"/>
          <w:vertAlign w:val="subscript"/>
        </w:rPr>
        <w:tab/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vertAlign w:val="subscript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vertAlign w:val="subscript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bscript"/>
              </w:rPr>
              <m:t>E</m:t>
            </m:r>
          </m:sub>
        </m:sSub>
        <m:r>
          <w:rPr>
            <w:rFonts w:ascii="Cambria Math" w:hAnsi="Cambria Math"/>
            <w:sz w:val="28"/>
            <w:szCs w:val="28"/>
            <w:vertAlign w:val="subscript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vertAlign w:val="subscript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vertAlign w:val="subscript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vertAlign w:val="subscript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vertAlign w:val="subscript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vertAlign w:val="subscript"/>
                      </w:rPr>
                      <m:t>D</m:t>
                    </m:r>
                  </m:sub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vertAlign w:val="subscript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vertAlign w:val="subscript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  <w:vertAlign w:val="subscript"/>
                          </w:rPr>
                          <m:t>0</m:t>
                        </m:r>
                      </m:sub>
                    </m:sSub>
                  </m:sup>
                </m:sSubSup>
              </m:e>
            </m:d>
            <m:r>
              <w:rPr>
                <w:rFonts w:ascii="Cambria Math" w:hAnsi="Cambria Math"/>
                <w:sz w:val="28"/>
                <w:szCs w:val="28"/>
                <w:vertAlign w:val="subscript"/>
              </w:rPr>
              <m:t>-1</m:t>
            </m:r>
          </m:num>
          <m:den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  <w:vertAlign w:val="subscript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  <w:vertAlign w:val="subscript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vertAlign w:val="subscript"/>
                  </w:rPr>
                  <m:t>D</m:t>
                </m:r>
              </m:sub>
              <m:sup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vertAlign w:val="subscript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vertAlign w:val="subscript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vertAlign w:val="subscript"/>
                      </w:rPr>
                      <m:t>0</m:t>
                    </m:r>
                  </m:sub>
                </m:sSub>
              </m:sup>
            </m:sSubSup>
          </m:den>
        </m:f>
        <m:r>
          <w:rPr>
            <w:rFonts w:ascii="Cambria Math" w:hAnsi="Cambria Math"/>
            <w:sz w:val="28"/>
            <w:szCs w:val="28"/>
            <w:vertAlign w:val="subscript"/>
          </w:rPr>
          <m:t>∙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vertAlign w:val="subscript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vertAlign w:val="subscript"/>
              </w:rPr>
              <m:t>1</m:t>
            </m:r>
          </m:num>
          <m:den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  <w:vertAlign w:val="subscript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ρ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vertAlign w:val="subscript"/>
                  </w:rPr>
                  <m:t>4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  <w:vertAlign w:val="subscript"/>
                  </w:rPr>
                  <m:t>20</m:t>
                </m:r>
              </m:sup>
            </m:sSubSup>
          </m:den>
        </m:f>
      </m:oMath>
      <w:r>
        <w:rPr>
          <w:i/>
          <w:sz w:val="28"/>
          <w:szCs w:val="28"/>
          <w:vertAlign w:val="subscript"/>
        </w:rPr>
        <w:tab/>
      </w:r>
      <w:r>
        <w:rPr>
          <w:i/>
          <w:sz w:val="28"/>
          <w:szCs w:val="28"/>
          <w:vertAlign w:val="subscript"/>
        </w:rPr>
        <w:tab/>
      </w:r>
      <w:r>
        <w:rPr>
          <w:i/>
          <w:sz w:val="28"/>
          <w:szCs w:val="28"/>
          <w:vertAlign w:val="subscript"/>
        </w:rPr>
        <w:tab/>
      </w:r>
      <w:r>
        <w:rPr>
          <w:i/>
          <w:sz w:val="28"/>
          <w:szCs w:val="28"/>
          <w:vertAlign w:val="subscript"/>
        </w:rPr>
        <w:tab/>
      </w:r>
      <w:r>
        <w:rPr>
          <w:i/>
          <w:sz w:val="28"/>
          <w:szCs w:val="28"/>
          <w:vertAlign w:val="subscript"/>
        </w:rPr>
        <w:tab/>
      </w:r>
      <w:r>
        <w:rPr>
          <w:i/>
          <w:sz w:val="28"/>
          <w:szCs w:val="28"/>
          <w:vertAlign w:val="subscript"/>
        </w:rPr>
        <w:tab/>
      </w:r>
      <w:r>
        <w:rPr>
          <w:iCs/>
          <w:sz w:val="28"/>
          <w:szCs w:val="28"/>
        </w:rPr>
        <w:t>(3)</w:t>
      </w:r>
    </w:p>
    <w:p w14:paraId="71F055E9" w14:textId="77777777" w:rsidR="002C584C" w:rsidRDefault="00F46BA8">
      <w:pPr>
        <w:pStyle w:val="NormalWeb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Данная методика предполагается</w:t>
      </w:r>
      <w:r w:rsidR="007744E9">
        <w:rPr>
          <w:sz w:val="28"/>
          <w:szCs w:val="28"/>
        </w:rPr>
        <w:t xml:space="preserve"> для нефтей и нефтепродуктов нефтянового и нефтяно-парафино-ароматического основания, продуктов термического и каталитического кренинга, масел, средняя ошибка расчета плотности составляет 0,22%.</w:t>
      </w:r>
    </w:p>
    <w:p w14:paraId="2C1CCFF8" w14:textId="77777777" w:rsidR="002C584C" w:rsidRDefault="007744E9">
      <w:pPr>
        <w:pStyle w:val="NormalWeb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обобщения экспериментальных данных по плотности прямогонных фракций самотлорской и мангышлакской нефтей использован метод подобия, основные принципы которого изложены в [</w:t>
      </w:r>
      <w:r w:rsidR="00F85A91">
        <w:rPr>
          <w:sz w:val="28"/>
          <w:szCs w:val="28"/>
        </w:rPr>
        <w:t>2</w:t>
      </w:r>
      <w:r>
        <w:rPr>
          <w:sz w:val="28"/>
          <w:szCs w:val="28"/>
        </w:rPr>
        <w:t>]. Зависимость плотности от температуры имеет вид</w:t>
      </w:r>
    </w:p>
    <w:p w14:paraId="68632E8A" w14:textId="77777777" w:rsidR="002C584C" w:rsidRDefault="007744E9">
      <w:pPr>
        <w:pStyle w:val="NormalWeb"/>
        <w:tabs>
          <w:tab w:val="center" w:pos="2268"/>
        </w:tabs>
        <w:spacing w:before="0" w:beforeAutospacing="0" w:after="0" w:line="360" w:lineRule="auto"/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ρ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 xml:space="preserve">t 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ρ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τ=0.5</m:t>
            </m:r>
          </m:sub>
        </m:sSub>
        <m:r>
          <w:rPr>
            <w:rFonts w:ascii="Cambria Math" w:hAnsi="Cambria Math"/>
            <w:sz w:val="28"/>
            <w:szCs w:val="28"/>
          </w:rPr>
          <m:t>∙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ρ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*</m:t>
            </m:r>
          </m:sup>
        </m:sSup>
      </m:oMath>
      <w:r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  <w:t>(4)</w:t>
      </w:r>
    </w:p>
    <w:p w14:paraId="3FFD4EFB" w14:textId="77777777" w:rsidR="002C584C" w:rsidRDefault="007744E9">
      <w:pPr>
        <w:pStyle w:val="NormalWeb"/>
        <w:spacing w:before="0" w:beforeAutospacing="0" w:after="0" w:line="360" w:lineRule="auto"/>
        <w:jc w:val="both"/>
        <w:rPr>
          <w:sz w:val="28"/>
          <w:szCs w:val="28"/>
        </w:rPr>
      </w:pPr>
      <w:r>
        <w:rPr>
          <w:iCs/>
          <w:sz w:val="28"/>
          <w:szCs w:val="28"/>
        </w:rPr>
        <w:t>где</w:t>
      </w:r>
      <w:r>
        <w:rPr>
          <w:iCs/>
          <w:sz w:val="28"/>
          <w:szCs w:val="28"/>
        </w:rPr>
        <w:tab/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ρ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τ=0.5</m:t>
            </m:r>
          </m:sub>
        </m:sSub>
      </m:oMath>
      <w:r>
        <w:rPr>
          <w:sz w:val="28"/>
          <w:szCs w:val="28"/>
        </w:rPr>
        <w:t xml:space="preserve"> – реперное значение плотности при Т=0,5 Т</w:t>
      </w:r>
      <w:r>
        <w:rPr>
          <w:sz w:val="28"/>
          <w:szCs w:val="28"/>
          <w:vertAlign w:val="subscript"/>
        </w:rPr>
        <w:t xml:space="preserve">пкр </w:t>
      </w:r>
      <w:r>
        <w:rPr>
          <w:sz w:val="28"/>
          <w:szCs w:val="28"/>
        </w:rPr>
        <w:t>кг/м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;</w:t>
      </w:r>
    </w:p>
    <w:p w14:paraId="73CBCDC5" w14:textId="77777777" w:rsidR="002C584C" w:rsidRDefault="00D1346F">
      <w:pPr>
        <w:pStyle w:val="NormalWeb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ρ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*</m:t>
            </m:r>
          </m:sup>
        </m:sSup>
      </m:oMath>
      <w:r w:rsidR="007744E9">
        <w:rPr>
          <w:sz w:val="28"/>
          <w:szCs w:val="28"/>
        </w:rPr>
        <w:t xml:space="preserve"> - приведенная плотность.</w:t>
      </w:r>
    </w:p>
    <w:p w14:paraId="6CA1EF8E" w14:textId="77777777" w:rsidR="002C584C" w:rsidRDefault="007744E9">
      <w:pPr>
        <w:pStyle w:val="NormalWeb"/>
        <w:spacing w:before="0" w:beforeAutospacing="0"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Значения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ρ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τ=0.5</m:t>
            </m:r>
          </m:sub>
        </m:sSub>
      </m:oMath>
      <w:r>
        <w:rPr>
          <w:sz w:val="28"/>
          <w:szCs w:val="28"/>
        </w:rPr>
        <w:t xml:space="preserve"> и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ρ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*</m:t>
            </m:r>
          </m:sup>
        </m:sSup>
      </m:oMath>
      <w:r>
        <w:rPr>
          <w:sz w:val="28"/>
          <w:szCs w:val="28"/>
        </w:rPr>
        <w:t xml:space="preserve"> рассчитываются по формулам:</w:t>
      </w:r>
    </w:p>
    <w:p w14:paraId="1B70177E" w14:textId="77777777" w:rsidR="002C584C" w:rsidRDefault="00D1346F">
      <w:pPr>
        <w:pStyle w:val="NormalWeb"/>
        <w:spacing w:before="0" w:beforeAutospacing="0" w:after="0" w:line="360" w:lineRule="auto"/>
        <w:ind w:left="2124" w:firstLine="709"/>
        <w:jc w:val="both"/>
        <w:rPr>
          <w:iCs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ρ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τ=0,5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ρ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0</m:t>
                </m:r>
              </m:sub>
            </m:sSub>
          </m:num>
          <m:den>
            <m:r>
              <w:rPr>
                <w:rFonts w:ascii="Cambria Math" w:hAnsi="Cambria Math"/>
                <w:sz w:val="28"/>
                <w:szCs w:val="28"/>
              </w:rPr>
              <m:t>1,2979-0,54957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τ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0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-0,09247</m:t>
            </m:r>
            <m:sSubSup>
              <m:sSubSup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τ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0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bSup>
          </m:den>
        </m:f>
      </m:oMath>
      <w:r w:rsidR="007744E9">
        <w:rPr>
          <w:iCs/>
          <w:sz w:val="28"/>
          <w:szCs w:val="28"/>
        </w:rPr>
        <w:tab/>
      </w:r>
      <w:r w:rsidR="007744E9">
        <w:rPr>
          <w:iCs/>
          <w:sz w:val="28"/>
          <w:szCs w:val="28"/>
        </w:rPr>
        <w:tab/>
      </w:r>
      <w:r w:rsidR="007744E9">
        <w:rPr>
          <w:iCs/>
          <w:sz w:val="28"/>
          <w:szCs w:val="28"/>
        </w:rPr>
        <w:tab/>
        <w:t xml:space="preserve">  (5)</w:t>
      </w:r>
    </w:p>
    <w:p w14:paraId="36420ED2" w14:textId="77777777" w:rsidR="002C584C" w:rsidRDefault="00D1346F">
      <w:pPr>
        <w:pStyle w:val="NormalWeb"/>
        <w:spacing w:before="0" w:beforeAutospacing="0" w:after="0" w:line="360" w:lineRule="auto"/>
        <w:ind w:left="2124" w:firstLine="709"/>
        <w:jc w:val="both"/>
        <w:rPr>
          <w:iCs/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ρ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*</m:t>
            </m:r>
          </m:sup>
        </m:sSup>
        <m:r>
          <w:rPr>
            <w:rFonts w:ascii="Cambria Math" w:hAnsi="Cambria Math"/>
            <w:sz w:val="28"/>
            <w:szCs w:val="28"/>
          </w:rPr>
          <m:t>=1,2979-0,54957τ-0,09247</m:t>
        </m:r>
        <m:sSup>
          <m:sSupPr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τ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="007744E9">
        <w:rPr>
          <w:iCs/>
          <w:sz w:val="28"/>
          <w:szCs w:val="28"/>
        </w:rPr>
        <w:tab/>
      </w:r>
      <w:r w:rsidR="007744E9">
        <w:rPr>
          <w:iCs/>
          <w:sz w:val="28"/>
          <w:szCs w:val="28"/>
        </w:rPr>
        <w:tab/>
        <w:t xml:space="preserve">           (6)</w:t>
      </w:r>
    </w:p>
    <w:p w14:paraId="1F3F6429" w14:textId="77777777" w:rsidR="002C584C" w:rsidRDefault="007744E9">
      <w:pPr>
        <w:pStyle w:val="NormalWeb"/>
        <w:spacing w:before="0" w:beforeAutospacing="0" w:after="0"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где</w:t>
      </w:r>
      <w:r>
        <w:rPr>
          <w:iCs/>
          <w:sz w:val="28"/>
          <w:szCs w:val="28"/>
        </w:rPr>
        <w:tab/>
      </w:r>
      <m:oMath>
        <m:r>
          <w:rPr>
            <w:rFonts w:ascii="Cambria Math" w:hAnsi="Cambria Math"/>
            <w:sz w:val="28"/>
            <w:szCs w:val="28"/>
          </w:rPr>
          <m:t xml:space="preserve">  </m:t>
        </m:r>
        <m:sSub>
          <m:sSubPr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τ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Т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Т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пкр</m:t>
                </m:r>
              </m:sub>
            </m:sSub>
          </m:den>
        </m:f>
      </m:oMath>
      <w:r>
        <w:rPr>
          <w:iCs/>
          <w:sz w:val="28"/>
          <w:szCs w:val="28"/>
        </w:rPr>
        <w:t xml:space="preserve"> – приведенные температуры соответственно при Т</w:t>
      </w:r>
      <w:r>
        <w:rPr>
          <w:iCs/>
          <w:sz w:val="28"/>
          <w:szCs w:val="28"/>
          <w:vertAlign w:val="subscript"/>
        </w:rPr>
        <w:t xml:space="preserve">0 </w:t>
      </w:r>
      <w:r>
        <w:rPr>
          <w:iCs/>
          <w:sz w:val="28"/>
          <w:szCs w:val="28"/>
        </w:rPr>
        <w:t>и Т.</w:t>
      </w:r>
    </w:p>
    <w:p w14:paraId="5DF23283" w14:textId="77777777" w:rsidR="002C584C" w:rsidRDefault="007744E9">
      <w:pPr>
        <w:pStyle w:val="NormalWeb"/>
        <w:spacing w:before="0" w:beforeAutospacing="0" w:after="0"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Средняя погрешность расчета составляет 0,11%.</w:t>
      </w:r>
    </w:p>
    <w:p w14:paraId="2F88BF95" w14:textId="77777777" w:rsidR="002C584C" w:rsidRDefault="007744E9">
      <w:pPr>
        <w:pStyle w:val="NormalWeb"/>
        <w:spacing w:before="0" w:beforeAutospacing="0" w:after="0"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В работе [12] предлагается формула:</w:t>
      </w:r>
    </w:p>
    <w:p w14:paraId="2C2A7180" w14:textId="77777777" w:rsidR="002C584C" w:rsidRDefault="007744E9">
      <w:pPr>
        <w:pStyle w:val="NormalWeb"/>
        <w:spacing w:before="0" w:beforeAutospacing="0" w:after="0" w:line="360" w:lineRule="auto"/>
        <w:ind w:left="2124" w:firstLine="709"/>
        <w:jc w:val="both"/>
        <w:rPr>
          <w:iCs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ρ=</m:t>
        </m:r>
        <m:f>
          <m:fPr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ρ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20</m:t>
                </m:r>
              </m:sup>
            </m:sSubSup>
            <m:r>
              <w:rPr>
                <w:rFonts w:ascii="Cambria Math" w:hAnsi="Cambria Math"/>
                <w:sz w:val="28"/>
                <w:szCs w:val="28"/>
              </w:rPr>
              <m:t>∙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1+β</m:t>
            </m:r>
            <m:d>
              <m:d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Т-293,15</m:t>
                </m:r>
              </m:e>
            </m:d>
          </m:den>
        </m:f>
      </m:oMath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  <w:t>(7)</w:t>
      </w:r>
    </w:p>
    <w:p w14:paraId="73510214" w14:textId="77777777" w:rsidR="002C584C" w:rsidRDefault="007744E9">
      <w:pPr>
        <w:pStyle w:val="NormalWeb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β – средний коэффициент объемного расширения, рассчитываемый по формуле</w:t>
      </w:r>
    </w:p>
    <w:p w14:paraId="05C9BD85" w14:textId="77777777" w:rsidR="002C584C" w:rsidRDefault="007744E9">
      <w:pPr>
        <w:pStyle w:val="NormalWeb"/>
        <w:spacing w:before="0" w:beforeAutospacing="0" w:after="0" w:line="360" w:lineRule="auto"/>
        <w:ind w:left="2124" w:firstLine="709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β=А+2В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Т-288</m:t>
            </m:r>
          </m:e>
        </m:d>
      </m:oMath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(8)</w:t>
      </w:r>
    </w:p>
    <w:p w14:paraId="27783B5C" w14:textId="77777777" w:rsidR="002C584C" w:rsidRPr="007744E9" w:rsidRDefault="007744E9">
      <w:pPr>
        <w:pStyle w:val="NormalWeb"/>
        <w:spacing w:before="0" w:beforeAutospacing="0"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где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m:oMath>
        <m:r>
          <w:rPr>
            <w:rFonts w:ascii="Cambria Math" w:hAnsi="Cambria Math"/>
            <w:sz w:val="28"/>
            <w:szCs w:val="28"/>
          </w:rPr>
          <m:t>lgA=3,91+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0,70</m:t>
            </m:r>
          </m:num>
          <m:den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ρ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15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15</m:t>
                </m:r>
              </m:sup>
            </m:sSubSup>
          </m:den>
        </m:f>
      </m:oMath>
      <w:r>
        <w:rPr>
          <w:sz w:val="28"/>
          <w:szCs w:val="28"/>
        </w:rPr>
        <w:t xml:space="preserve"> </w:t>
      </w:r>
      <w:r w:rsidRPr="007744E9">
        <w:rPr>
          <w:sz w:val="28"/>
          <w:szCs w:val="28"/>
        </w:rPr>
        <w:t xml:space="preserve">; </w:t>
      </w:r>
      <m:oMath>
        <m:r>
          <w:rPr>
            <w:rFonts w:ascii="Cambria Math" w:hAnsi="Cambria Math"/>
            <w:sz w:val="28"/>
            <w:szCs w:val="28"/>
            <w:lang w:val="en-US"/>
          </w:rPr>
          <m:t>lgB</m:t>
        </m:r>
        <m:r>
          <w:rPr>
            <w:rFonts w:ascii="Cambria Math" w:hAnsi="Cambria Math"/>
            <w:sz w:val="28"/>
            <w:szCs w:val="28"/>
          </w:rPr>
          <m:t>=8,69+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2,10</m:t>
            </m:r>
          </m:num>
          <m:den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ρ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15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15</m:t>
                </m:r>
              </m:sup>
            </m:sSubSup>
          </m:den>
        </m:f>
      </m:oMath>
    </w:p>
    <w:p w14:paraId="4A89FA0F" w14:textId="77777777" w:rsidR="002C584C" w:rsidRDefault="007744E9">
      <w:pPr>
        <w:pStyle w:val="NormalWeb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формула </w:t>
      </w:r>
      <w:r w:rsidR="00F46BA8">
        <w:rPr>
          <w:sz w:val="28"/>
          <w:szCs w:val="28"/>
        </w:rPr>
        <w:t>предназначается</w:t>
      </w:r>
      <w:r>
        <w:rPr>
          <w:sz w:val="28"/>
          <w:szCs w:val="28"/>
        </w:rPr>
        <w:t xml:space="preserve"> </w:t>
      </w:r>
      <w:r w:rsidR="00F46BA8">
        <w:rPr>
          <w:sz w:val="28"/>
          <w:szCs w:val="28"/>
        </w:rPr>
        <w:t>при</w:t>
      </w:r>
      <w:r>
        <w:rPr>
          <w:sz w:val="28"/>
          <w:szCs w:val="28"/>
        </w:rPr>
        <w:t xml:space="preserve"> расчета</w:t>
      </w:r>
      <w:r w:rsidR="00F46BA8">
        <w:rPr>
          <w:sz w:val="28"/>
          <w:szCs w:val="28"/>
        </w:rPr>
        <w:t>х</w:t>
      </w:r>
      <w:r>
        <w:rPr>
          <w:sz w:val="28"/>
          <w:szCs w:val="28"/>
        </w:rPr>
        <w:t xml:space="preserve"> плотности бензиновых нефтяных фракций первичной перегонки, </w:t>
      </w:r>
      <w:r w:rsidR="00F46BA8">
        <w:rPr>
          <w:sz w:val="28"/>
          <w:szCs w:val="28"/>
        </w:rPr>
        <w:t>которые, в первую очередь, не содержат</w:t>
      </w:r>
      <w:r>
        <w:rPr>
          <w:sz w:val="28"/>
          <w:szCs w:val="28"/>
        </w:rPr>
        <w:t xml:space="preserve"> ароматических углеводородов, </w:t>
      </w:r>
      <w:r w:rsidR="00F46BA8">
        <w:rPr>
          <w:sz w:val="28"/>
          <w:szCs w:val="28"/>
        </w:rPr>
        <w:t>смолисто-</w:t>
      </w:r>
      <w:r>
        <w:rPr>
          <w:sz w:val="28"/>
          <w:szCs w:val="28"/>
        </w:rPr>
        <w:t>асфальт</w:t>
      </w:r>
      <w:r w:rsidR="00F46BA8">
        <w:rPr>
          <w:sz w:val="28"/>
          <w:szCs w:val="28"/>
        </w:rPr>
        <w:t>овых</w:t>
      </w:r>
      <w:r>
        <w:rPr>
          <w:sz w:val="28"/>
          <w:szCs w:val="28"/>
        </w:rPr>
        <w:t xml:space="preserve"> веществ и тверд</w:t>
      </w:r>
      <w:r w:rsidR="00F46BA8">
        <w:rPr>
          <w:sz w:val="28"/>
          <w:szCs w:val="28"/>
        </w:rPr>
        <w:t>ых парафинообразных углеводородов</w:t>
      </w:r>
      <w:r>
        <w:rPr>
          <w:sz w:val="28"/>
          <w:szCs w:val="28"/>
        </w:rPr>
        <w:t>.</w:t>
      </w:r>
    </w:p>
    <w:p w14:paraId="2A4AEFC9" w14:textId="77777777" w:rsidR="002C584C" w:rsidRDefault="007744E9">
      <w:pPr>
        <w:pStyle w:val="NormalWeb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Для вычисления плотности остаточного нефтяного сырья любой глубины отбора (не ниже 300ºС) при температурах от точки затвердевания до 623 К в работе [</w:t>
      </w:r>
      <w:r w:rsidR="00F85A91">
        <w:rPr>
          <w:sz w:val="28"/>
          <w:szCs w:val="28"/>
        </w:rPr>
        <w:t>2</w:t>
      </w:r>
      <w:r>
        <w:rPr>
          <w:sz w:val="28"/>
          <w:szCs w:val="28"/>
        </w:rPr>
        <w:t>] использована следующая зависимость</w:t>
      </w:r>
    </w:p>
    <w:p w14:paraId="17DDBFCC" w14:textId="77777777" w:rsidR="002C584C" w:rsidRDefault="00D1346F">
      <w:pPr>
        <w:pStyle w:val="NormalWeb"/>
        <w:spacing w:before="0" w:beforeAutospacing="0" w:after="0" w:line="360" w:lineRule="auto"/>
        <w:ind w:left="1416" w:firstLine="709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ρ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4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t</m:t>
            </m:r>
          </m:sup>
        </m:sSubSup>
        <m:r>
          <w:rPr>
            <w:rFonts w:ascii="Cambria Math" w:hAnsi="Cambria Math"/>
            <w:sz w:val="28"/>
            <w:szCs w:val="28"/>
          </w:rPr>
          <m:t>=</m:t>
        </m:r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ρ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4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20</m:t>
            </m:r>
          </m:sup>
        </m:sSubSup>
        <m:r>
          <w:rPr>
            <w:rFonts w:ascii="Cambria Math" w:hAnsi="Cambria Math"/>
            <w:sz w:val="28"/>
            <w:szCs w:val="28"/>
          </w:rPr>
          <m:t>-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0,0000429</m:t>
                </m:r>
              </m:num>
              <m:den>
                <m:sSubSup>
                  <m:sSub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4</m:t>
                    </m:r>
                  </m:sub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20</m:t>
                    </m:r>
                  </m:sup>
                </m:sSubSup>
              </m:den>
            </m:f>
            <m:r>
              <w:rPr>
                <w:rFonts w:ascii="Cambria Math" w:hAnsi="Cambria Math"/>
                <w:sz w:val="28"/>
                <w:szCs w:val="28"/>
              </w:rPr>
              <m:t>-0,00005</m:t>
            </m:r>
          </m:e>
        </m:d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t-20</m:t>
            </m:r>
          </m:e>
        </m:d>
      </m:oMath>
      <w:r w:rsidR="00F46BA8">
        <w:rPr>
          <w:sz w:val="28"/>
          <w:szCs w:val="28"/>
        </w:rPr>
        <w:tab/>
      </w:r>
      <w:r w:rsidR="00F46BA8">
        <w:rPr>
          <w:sz w:val="28"/>
          <w:szCs w:val="28"/>
        </w:rPr>
        <w:tab/>
        <w:t xml:space="preserve">       </w:t>
      </w:r>
      <w:r w:rsidR="007744E9">
        <w:rPr>
          <w:sz w:val="28"/>
          <w:szCs w:val="28"/>
        </w:rPr>
        <w:t>(9)</w:t>
      </w:r>
    </w:p>
    <w:p w14:paraId="3113BD6B" w14:textId="77777777" w:rsidR="002C584C" w:rsidRDefault="007744E9">
      <w:pPr>
        <w:pStyle w:val="NormalWeb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отсутствии данных о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ρ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4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20</m:t>
            </m:r>
          </m:sup>
        </m:sSubSup>
      </m:oMath>
      <w:r>
        <w:rPr>
          <w:sz w:val="28"/>
          <w:szCs w:val="28"/>
        </w:rPr>
        <w:t xml:space="preserve"> остатка, и если известны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ρ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4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20</m:t>
            </m:r>
          </m:sup>
        </m:sSubSup>
      </m:oMath>
      <w:r>
        <w:rPr>
          <w:sz w:val="28"/>
          <w:szCs w:val="28"/>
        </w:rPr>
        <w:t xml:space="preserve"> всей нефти и значение отгона всех дистиллятов, то расчет производится по формуле [14]</w:t>
      </w:r>
    </w:p>
    <w:p w14:paraId="5D567036" w14:textId="77777777" w:rsidR="002C584C" w:rsidRDefault="00D1346F">
      <w:pPr>
        <w:pStyle w:val="NormalWeb"/>
        <w:spacing w:before="0" w:beforeAutospacing="0" w:after="0" w:line="360" w:lineRule="auto"/>
        <w:ind w:left="1416"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4</m:t>
                    </m:r>
                  </m:sub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20</m:t>
                    </m:r>
                  </m:sup>
                </m:sSubSup>
              </m:e>
            </m:d>
          </m:e>
          <m:sub>
            <m:r>
              <w:rPr>
                <w:rFonts w:ascii="Cambria Math" w:hAnsi="Cambria Math"/>
                <w:sz w:val="28"/>
                <w:szCs w:val="28"/>
              </w:rPr>
              <m:t>ОСТ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4</m:t>
                    </m:r>
                  </m:sub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20</m:t>
                    </m:r>
                  </m:sup>
                </m:sSubSup>
              </m:e>
            </m:d>
          </m:e>
          <m:sub>
            <m:r>
              <w:rPr>
                <w:rFonts w:ascii="Cambria Math" w:hAnsi="Cambria Math"/>
                <w:sz w:val="28"/>
                <w:szCs w:val="28"/>
              </w:rPr>
              <m:t>Н</m:t>
            </m:r>
          </m:sub>
        </m:sSub>
        <m:d>
          <m:dPr>
            <m:begChr m:val="["/>
            <m:endChr m:val="]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1+0,204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х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100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0,8</m:t>
                </m:r>
              </m:sup>
            </m:sSup>
          </m:e>
        </m:d>
      </m:oMath>
      <w:r w:rsidR="007744E9">
        <w:rPr>
          <w:sz w:val="28"/>
          <w:szCs w:val="28"/>
        </w:rPr>
        <w:tab/>
        <w:t xml:space="preserve">        (10)</w:t>
      </w:r>
      <w:r w:rsidR="007744E9">
        <w:rPr>
          <w:sz w:val="28"/>
          <w:szCs w:val="28"/>
        </w:rPr>
        <w:tab/>
      </w:r>
      <w:r w:rsidR="007744E9">
        <w:rPr>
          <w:sz w:val="28"/>
          <w:szCs w:val="28"/>
        </w:rPr>
        <w:tab/>
      </w:r>
    </w:p>
    <w:p w14:paraId="581BA640" w14:textId="77777777" w:rsidR="002C584C" w:rsidRDefault="007744E9">
      <w:pPr>
        <w:pStyle w:val="NormalWeb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Средняя погрешность вычисления плотности составляет 0,5% при максимальной до 2%.</w:t>
      </w:r>
    </w:p>
    <w:p w14:paraId="37C5CEE6" w14:textId="77777777" w:rsidR="002C584C" w:rsidRDefault="007744E9">
      <w:pPr>
        <w:pStyle w:val="NormalWeb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расчета плотности бензиновых нефтяных фракций при давлении до 350МПа используется нормограмма </w:t>
      </w:r>
      <w:r>
        <w:rPr>
          <w:sz w:val="28"/>
          <w:szCs w:val="28"/>
          <w:lang w:val="en-US"/>
        </w:rPr>
        <w:t>API</w:t>
      </w:r>
      <w:r w:rsidR="00F85A91">
        <w:rPr>
          <w:sz w:val="28"/>
          <w:szCs w:val="28"/>
        </w:rPr>
        <w:t xml:space="preserve"> [1</w:t>
      </w:r>
      <w:r>
        <w:rPr>
          <w:sz w:val="28"/>
          <w:szCs w:val="28"/>
        </w:rPr>
        <w:t>]. По оценке авторов наибольшая погрешность расчетов оценивается в 2%. Авторами [</w:t>
      </w:r>
      <w:r w:rsidR="00F85A91">
        <w:rPr>
          <w:sz w:val="28"/>
          <w:szCs w:val="28"/>
        </w:rPr>
        <w:t>1</w:t>
      </w:r>
      <w:r>
        <w:rPr>
          <w:sz w:val="28"/>
          <w:szCs w:val="28"/>
        </w:rPr>
        <w:t>] была проверена применимость этой методики для нефтей и бензиновых нефтяных фракций различных месторождений Советского Союза. Отмечается, что средние отклонения результатов расчета от экспериментальных достигали 7-10%, и даже выше.</w:t>
      </w:r>
    </w:p>
    <w:p w14:paraId="3A9F2BBD" w14:textId="77777777" w:rsidR="002C584C" w:rsidRDefault="007744E9">
      <w:pPr>
        <w:pStyle w:val="NormalWeb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Большой экспериментальный материал по исследованию плотности нефтей и бензиновых нефтяных фракций был накоплен в работах Отраслевой телофизической лаборатории Грозненского нефтяного института [</w:t>
      </w:r>
      <w:r w:rsidR="00F85A91">
        <w:rPr>
          <w:sz w:val="28"/>
          <w:szCs w:val="28"/>
        </w:rPr>
        <w:t>2</w:t>
      </w:r>
      <w:r>
        <w:rPr>
          <w:sz w:val="28"/>
          <w:szCs w:val="28"/>
        </w:rPr>
        <w:t xml:space="preserve">]. </w:t>
      </w:r>
    </w:p>
    <w:p w14:paraId="075DD7DE" w14:textId="77777777" w:rsidR="002C584C" w:rsidRDefault="007744E9">
      <w:pPr>
        <w:pStyle w:val="NormalWeb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методов теории подобия для расчета удельных объемов нефтей и бензиновых нефтяных фракций при повышенных давлениях авторами [</w:t>
      </w:r>
      <w:r w:rsidR="00F85A91">
        <w:rPr>
          <w:sz w:val="28"/>
          <w:szCs w:val="28"/>
        </w:rPr>
        <w:t>2</w:t>
      </w:r>
      <w:r>
        <w:rPr>
          <w:sz w:val="28"/>
          <w:szCs w:val="28"/>
        </w:rPr>
        <w:t>] было предложено использовать изотермическое уравнение Тэйта в интегральной форме:</w:t>
      </w:r>
    </w:p>
    <w:p w14:paraId="362F09D6" w14:textId="77777777" w:rsidR="002C584C" w:rsidRDefault="00D1346F">
      <w:pPr>
        <w:pStyle w:val="NormalWeb"/>
        <w:spacing w:before="0" w:beforeAutospacing="0" w:after="0" w:line="360" w:lineRule="auto"/>
        <w:ind w:left="2831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G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  <m:r>
              <w:rPr>
                <w:rFonts w:ascii="Cambria Math" w:hAnsi="Cambria Math"/>
                <w:sz w:val="28"/>
                <w:szCs w:val="28"/>
              </w:rPr>
              <m:t>,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G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sub>
        </m:sSub>
        <m:d>
          <m:dPr>
            <m:begChr m:val="["/>
            <m:endChr m:val="]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1-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Aln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B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T</m:t>
                    </m:r>
                  </m:e>
                </m:d>
                <m: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P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B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T</m:t>
                    </m:r>
                  </m:e>
                </m:d>
                <m: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0</m:t>
                    </m:r>
                  </m:sub>
                </m:sSub>
              </m:den>
            </m:f>
          </m:e>
        </m:d>
      </m:oMath>
      <w:r w:rsidR="007744E9">
        <w:rPr>
          <w:sz w:val="28"/>
          <w:szCs w:val="28"/>
        </w:rPr>
        <w:tab/>
      </w:r>
      <w:r w:rsidR="007744E9">
        <w:rPr>
          <w:sz w:val="28"/>
          <w:szCs w:val="28"/>
        </w:rPr>
        <w:tab/>
      </w:r>
      <w:r w:rsidR="007744E9">
        <w:rPr>
          <w:sz w:val="28"/>
          <w:szCs w:val="28"/>
        </w:rPr>
        <w:tab/>
      </w:r>
      <w:r w:rsidR="007744E9">
        <w:rPr>
          <w:sz w:val="28"/>
          <w:szCs w:val="28"/>
        </w:rPr>
        <w:tab/>
        <w:t>(11)</w:t>
      </w:r>
    </w:p>
    <w:p w14:paraId="45991455" w14:textId="77777777" w:rsidR="002C584C" w:rsidRDefault="007744E9">
      <w:pPr>
        <w:pStyle w:val="NormalWeb"/>
        <w:spacing w:before="0" w:beforeAutospacing="0" w:after="0"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где – </w:t>
      </w:r>
      <w:r>
        <w:rPr>
          <w:iCs/>
          <w:sz w:val="28"/>
          <w:szCs w:val="28"/>
          <w:lang w:val="en-US"/>
        </w:rPr>
        <w:t>G</w:t>
      </w:r>
      <w:r>
        <w:rPr>
          <w:iCs/>
          <w:sz w:val="28"/>
          <w:szCs w:val="28"/>
          <w:vertAlign w:val="subscript"/>
          <w:lang w:val="en-US"/>
        </w:rPr>
        <w:t>t</w:t>
      </w:r>
      <w:r>
        <w:rPr>
          <w:iCs/>
          <w:sz w:val="28"/>
          <w:szCs w:val="28"/>
          <w:vertAlign w:val="subscript"/>
        </w:rPr>
        <w:t>,</w:t>
      </w:r>
      <w:r>
        <w:rPr>
          <w:iCs/>
          <w:sz w:val="28"/>
          <w:szCs w:val="28"/>
          <w:vertAlign w:val="subscript"/>
          <w:lang w:val="en-US"/>
        </w:rPr>
        <w:t>p</w:t>
      </w:r>
      <w:r>
        <w:rPr>
          <w:iCs/>
          <w:sz w:val="28"/>
          <w:szCs w:val="28"/>
          <w:vertAlign w:val="subscript"/>
        </w:rPr>
        <w:t xml:space="preserve"> </w:t>
      </w:r>
      <w:r>
        <w:rPr>
          <w:iCs/>
          <w:sz w:val="28"/>
          <w:szCs w:val="28"/>
        </w:rPr>
        <w:t xml:space="preserve">и </w:t>
      </w:r>
      <w:r>
        <w:rPr>
          <w:iCs/>
          <w:sz w:val="28"/>
          <w:szCs w:val="28"/>
          <w:lang w:val="en-US"/>
        </w:rPr>
        <w:t>G</w:t>
      </w:r>
      <w:r>
        <w:rPr>
          <w:iCs/>
          <w:sz w:val="28"/>
          <w:szCs w:val="28"/>
          <w:vertAlign w:val="subscript"/>
          <w:lang w:val="en-US"/>
        </w:rPr>
        <w:t>t</w:t>
      </w:r>
      <w:r>
        <w:rPr>
          <w:iCs/>
          <w:sz w:val="28"/>
          <w:szCs w:val="28"/>
        </w:rPr>
        <w:t xml:space="preserve"> – удельные объемы при температуре </w:t>
      </w:r>
      <w:r>
        <w:rPr>
          <w:iCs/>
          <w:sz w:val="28"/>
          <w:szCs w:val="28"/>
          <w:lang w:val="en-US"/>
        </w:rPr>
        <w:t>t</w:t>
      </w:r>
      <w:r>
        <w:rPr>
          <w:iCs/>
          <w:sz w:val="28"/>
          <w:szCs w:val="28"/>
        </w:rPr>
        <w:t xml:space="preserve"> при повышенном давлении </w:t>
      </w:r>
      <w:r>
        <w:rPr>
          <w:iCs/>
          <w:sz w:val="28"/>
          <w:szCs w:val="28"/>
          <w:lang w:val="en-US"/>
        </w:rPr>
        <w:t>P</w:t>
      </w:r>
      <w:r>
        <w:rPr>
          <w:iCs/>
          <w:sz w:val="28"/>
          <w:szCs w:val="28"/>
        </w:rPr>
        <w:t xml:space="preserve"> и атмосферном соответственно;</w:t>
      </w:r>
    </w:p>
    <w:p w14:paraId="1CADE68F" w14:textId="77777777" w:rsidR="002C584C" w:rsidRDefault="007744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– константа, не зависящая от температуры и давления;</w:t>
      </w:r>
    </w:p>
    <w:p w14:paraId="5672C215" w14:textId="77777777" w:rsidR="002C584C" w:rsidRDefault="007744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В(Т) – температурная функция, Мпа.</w:t>
      </w:r>
    </w:p>
    <w:p w14:paraId="0B8C7A12" w14:textId="77777777" w:rsidR="002C584C" w:rsidRDefault="007744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Значения коэффициентов А найдено отработкой экспериментальных 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</w:rPr>
        <w:t xml:space="preserve"> данных для большого числа </w:t>
      </w:r>
      <w:r>
        <w:rPr>
          <w:sz w:val="28"/>
          <w:szCs w:val="28"/>
        </w:rPr>
        <w:t>бензиновых нефтяных фракций</w:t>
      </w:r>
      <w:r>
        <w:rPr>
          <w:rFonts w:ascii="Times New Roman" w:hAnsi="Times New Roman" w:cs="Times New Roman"/>
          <w:sz w:val="28"/>
          <w:szCs w:val="28"/>
        </w:rPr>
        <w:t xml:space="preserve"> , а значения температурной функции В(Т), соответствующие найденным значениям А, вычисляются по формуле:</w:t>
      </w:r>
    </w:p>
    <w:p w14:paraId="2733C13C" w14:textId="77777777" w:rsidR="002C584C" w:rsidRDefault="007744E9">
      <w:pPr>
        <w:spacing w:after="0" w:line="360" w:lineRule="auto"/>
        <w:ind w:left="708"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B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τ=0,6</m:t>
            </m:r>
          </m:sub>
        </m:sSub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-1,4927+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0,9078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τ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0,5252</m:t>
                </m:r>
              </m:num>
              <m:den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τ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0.1038</m:t>
                </m:r>
              </m:num>
              <m:den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τ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sup>
                </m:sSup>
              </m:den>
            </m:f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  <w:t>(12)</w:t>
      </w:r>
    </w:p>
    <w:p w14:paraId="0788D339" w14:textId="77777777" w:rsidR="002C584C" w:rsidRDefault="007744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τ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– приведенная температура;</w:t>
      </w:r>
    </w:p>
    <w:p w14:paraId="271BDC91" w14:textId="77777777" w:rsidR="002C584C" w:rsidRDefault="007744E9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τ=0,6</w:t>
      </w:r>
      <w:r>
        <w:rPr>
          <w:rFonts w:ascii="Times New Roman" w:eastAsiaTheme="minorEastAsia" w:hAnsi="Times New Roman" w:cs="Times New Roman"/>
          <w:sz w:val="28"/>
          <w:szCs w:val="28"/>
        </w:rPr>
        <w:t>=0,6 – реперное значение температурной функции, которое выбирается по таблице в зависимости от вида нефтепродукта.</w:t>
      </w:r>
    </w:p>
    <w:p w14:paraId="72E97C9E" w14:textId="77777777" w:rsidR="002C584C" w:rsidRDefault="007744E9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Методика применяется для расчета плотности нефтей и </w:t>
      </w:r>
      <w:r>
        <w:rPr>
          <w:sz w:val="28"/>
          <w:szCs w:val="28"/>
        </w:rPr>
        <w:t>бензиновых нефтяных фракций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в интервале температур 233÷473 К и давлении 0,1-60 МПа.</w:t>
      </w:r>
    </w:p>
    <w:p w14:paraId="025EA05B" w14:textId="77777777" w:rsidR="002C584C" w:rsidRDefault="007744E9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Средняя ошибка расчета достигает 0,2% при максимальной до 1%.</w:t>
      </w:r>
    </w:p>
    <w:p w14:paraId="033A665B" w14:textId="77777777" w:rsidR="002C584C" w:rsidRDefault="007744E9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 работе [</w:t>
      </w:r>
      <w:r w:rsidR="00A876D8">
        <w:rPr>
          <w:rFonts w:ascii="Times New Roman" w:eastAsiaTheme="minorEastAsia" w:hAnsi="Times New Roman" w:cs="Times New Roman"/>
          <w:sz w:val="28"/>
          <w:szCs w:val="28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>] для описания температурной зависимости плотности жидких алканов, автор предложил использовать уравнение Бирона Е.В. [</w:t>
      </w:r>
      <w:r w:rsidR="00A876D8">
        <w:rPr>
          <w:rFonts w:ascii="Times New Roman" w:eastAsiaTheme="minorEastAsia" w:hAnsi="Times New Roman" w:cs="Times New Roman"/>
          <w:sz w:val="28"/>
          <w:szCs w:val="28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>] вида:</w:t>
      </w:r>
    </w:p>
    <w:p w14:paraId="72755360" w14:textId="77777777" w:rsidR="002C584C" w:rsidRDefault="007744E9">
      <w:pPr>
        <w:spacing w:after="0" w:line="360" w:lineRule="auto"/>
        <w:ind w:left="2832" w:firstLine="709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V=A+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B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C+P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   (13)</w:t>
      </w:r>
    </w:p>
    <w:p w14:paraId="1A0C820F" w14:textId="77777777" w:rsidR="002C584C" w:rsidRDefault="007744E9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где </w:t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– удельный объем жидкости,</w:t>
      </w:r>
    </w:p>
    <w:p w14:paraId="6CE632EB" w14:textId="77777777" w:rsidR="002C584C" w:rsidRDefault="007744E9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Р – абсолютное давление;</w:t>
      </w:r>
    </w:p>
    <w:p w14:paraId="563C476C" w14:textId="77777777" w:rsidR="002C584C" w:rsidRDefault="007744E9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А, В, С – постоянные величины при данной температуре.</w:t>
      </w:r>
    </w:p>
    <w:p w14:paraId="618CE35B" w14:textId="77777777" w:rsidR="002C584C" w:rsidRDefault="007744E9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Мамедову А.М. удалось выявить функциональную зависимость величин А, В и С от температуры </w:t>
      </w:r>
    </w:p>
    <w:p w14:paraId="74FB1430" w14:textId="77777777" w:rsidR="002C584C" w:rsidRDefault="007744E9">
      <w:pPr>
        <w:spacing w:after="0" w:line="360" w:lineRule="auto"/>
        <w:ind w:left="2832" w:firstLine="709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w:lastRenderedPageBreak/>
          <m:t>А=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+τ∙Т</m:t>
        </m:r>
      </m:oMath>
      <w:r w:rsidR="00F85A91">
        <w:rPr>
          <w:rFonts w:ascii="Times New Roman" w:eastAsiaTheme="minorEastAsia" w:hAnsi="Times New Roman" w:cs="Times New Roman"/>
          <w:sz w:val="28"/>
          <w:szCs w:val="28"/>
        </w:rPr>
        <w:tab/>
      </w:r>
      <w:r w:rsidR="00F85A91">
        <w:rPr>
          <w:rFonts w:ascii="Times New Roman" w:eastAsiaTheme="minorEastAsia" w:hAnsi="Times New Roman" w:cs="Times New Roman"/>
          <w:sz w:val="28"/>
          <w:szCs w:val="28"/>
        </w:rPr>
        <w:tab/>
      </w:r>
      <w:r w:rsidR="00F85A91">
        <w:rPr>
          <w:rFonts w:ascii="Times New Roman" w:eastAsiaTheme="minorEastAsia" w:hAnsi="Times New Roman" w:cs="Times New Roman"/>
          <w:sz w:val="28"/>
          <w:szCs w:val="28"/>
        </w:rPr>
        <w:tab/>
      </w:r>
      <w:r w:rsidR="00F85A91">
        <w:rPr>
          <w:rFonts w:ascii="Times New Roman" w:eastAsiaTheme="minorEastAsia" w:hAnsi="Times New Roman" w:cs="Times New Roman"/>
          <w:sz w:val="28"/>
          <w:szCs w:val="28"/>
        </w:rPr>
        <w:tab/>
      </w:r>
      <w:r w:rsidR="00F85A91">
        <w:rPr>
          <w:rFonts w:ascii="Times New Roman" w:eastAsiaTheme="minorEastAsia" w:hAnsi="Times New Roman" w:cs="Times New Roman"/>
          <w:sz w:val="28"/>
          <w:szCs w:val="28"/>
        </w:rPr>
        <w:tab/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(14)</w:t>
      </w:r>
    </w:p>
    <w:p w14:paraId="5F42787C" w14:textId="77777777" w:rsidR="002C584C" w:rsidRPr="007744E9" w:rsidRDefault="007744E9">
      <w:pPr>
        <w:spacing w:after="0" w:line="360" w:lineRule="auto"/>
        <w:ind w:left="2832" w:firstLine="709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В=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В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sub>
            </m:sSub>
          </m:num>
          <m:den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T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100</m:t>
                    </m:r>
                  </m:den>
                </m:f>
              </m:e>
            </m:d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sub>
            </m:sSub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T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100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 w:rsidRPr="007744E9">
        <w:rPr>
          <w:rFonts w:ascii="Times New Roman" w:eastAsiaTheme="minorEastAsia" w:hAnsi="Times New Roman" w:cs="Times New Roman"/>
          <w:sz w:val="28"/>
          <w:szCs w:val="28"/>
        </w:rPr>
        <w:t>(15)</w:t>
      </w:r>
    </w:p>
    <w:p w14:paraId="1415216A" w14:textId="77777777" w:rsidR="002C584C" w:rsidRDefault="007744E9">
      <w:pPr>
        <w:spacing w:after="0" w:line="360" w:lineRule="auto"/>
        <w:ind w:left="2832" w:firstLine="709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C=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</m:num>
          <m:den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T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100</m:t>
                    </m:r>
                  </m:den>
                </m:f>
              </m:e>
            </m:d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T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100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 w:rsidRPr="007744E9">
        <w:rPr>
          <w:rFonts w:ascii="Times New Roman" w:eastAsiaTheme="minorEastAsia" w:hAnsi="Times New Roman" w:cs="Times New Roman"/>
          <w:sz w:val="28"/>
          <w:szCs w:val="28"/>
        </w:rPr>
        <w:t>(16)</w:t>
      </w:r>
    </w:p>
    <w:p w14:paraId="09AF965C" w14:textId="77777777" w:rsidR="002C584C" w:rsidRDefault="007744E9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где А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0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, τ,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В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,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– постоянные для данной жидкости.</w:t>
      </w:r>
    </w:p>
    <w:p w14:paraId="3027F966" w14:textId="77777777" w:rsidR="002C584C" w:rsidRDefault="007744E9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 пределах температур от 293 К до критической и давлении до 60 МПа относительная погрешность уравнения не превышает 1%.</w:t>
      </w:r>
    </w:p>
    <w:p w14:paraId="08979DD1" w14:textId="77777777" w:rsidR="002C584C" w:rsidRDefault="00F85A91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Авторами работ</w:t>
      </w:r>
      <w:r w:rsidR="007744E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[1</w:t>
      </w:r>
      <w:r w:rsidRPr="00F85A91">
        <w:rPr>
          <w:rFonts w:ascii="Times New Roman" w:eastAsiaTheme="minorEastAsia" w:hAnsi="Times New Roman" w:cs="Times New Roman"/>
          <w:sz w:val="28"/>
          <w:szCs w:val="28"/>
        </w:rPr>
        <w:t xml:space="preserve">] </w:t>
      </w:r>
      <w:r w:rsidR="007744E9">
        <w:rPr>
          <w:rFonts w:ascii="Times New Roman" w:eastAsiaTheme="minorEastAsia" w:hAnsi="Times New Roman" w:cs="Times New Roman"/>
          <w:sz w:val="28"/>
          <w:szCs w:val="28"/>
        </w:rPr>
        <w:t>для описания плотности нефтяных фракций мангышлакской и самотлорской нефтей было применено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уравнение Ахундова-Иманова</w:t>
      </w:r>
      <w:r w:rsidR="007744E9">
        <w:rPr>
          <w:rFonts w:ascii="Times New Roman" w:eastAsiaTheme="minorEastAsia" w:hAnsi="Times New Roman" w:cs="Times New Roman"/>
          <w:sz w:val="28"/>
          <w:szCs w:val="28"/>
        </w:rPr>
        <w:t xml:space="preserve"> вида:</w:t>
      </w:r>
    </w:p>
    <w:p w14:paraId="3B8E13A6" w14:textId="77777777" w:rsidR="002C584C" w:rsidRPr="007744E9" w:rsidRDefault="007744E9">
      <w:pPr>
        <w:spacing w:after="0" w:line="360" w:lineRule="auto"/>
        <w:ind w:left="2832" w:firstLine="709"/>
        <w:rPr>
          <w:rFonts w:ascii="Times New Roman" w:eastAsiaTheme="minorEastAsia" w:hAnsi="Times New Roman" w:cs="Times New Roman"/>
          <w:iCs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P=K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</m:d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ρ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+L(T)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ρ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  <w:r w:rsidRPr="007744E9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 w:rsidRPr="007744E9">
        <w:rPr>
          <w:rFonts w:ascii="Times New Roman" w:eastAsiaTheme="minorEastAsia" w:hAnsi="Times New Roman" w:cs="Times New Roman"/>
          <w:i/>
          <w:sz w:val="28"/>
          <w:szCs w:val="28"/>
        </w:rPr>
        <w:tab/>
      </w:r>
      <w:r w:rsidRPr="007744E9">
        <w:rPr>
          <w:rFonts w:ascii="Times New Roman" w:eastAsiaTheme="minorEastAsia" w:hAnsi="Times New Roman" w:cs="Times New Roman"/>
          <w:i/>
          <w:sz w:val="28"/>
          <w:szCs w:val="28"/>
        </w:rPr>
        <w:tab/>
      </w:r>
      <w:r w:rsidRPr="007744E9">
        <w:rPr>
          <w:rFonts w:ascii="Times New Roman" w:eastAsiaTheme="minorEastAsia" w:hAnsi="Times New Roman" w:cs="Times New Roman"/>
          <w:i/>
          <w:sz w:val="28"/>
          <w:szCs w:val="28"/>
        </w:rPr>
        <w:tab/>
      </w:r>
      <w:r w:rsidRPr="007744E9">
        <w:rPr>
          <w:rFonts w:ascii="Times New Roman" w:eastAsiaTheme="minorEastAsia" w:hAnsi="Times New Roman" w:cs="Times New Roman"/>
          <w:i/>
          <w:sz w:val="28"/>
          <w:szCs w:val="28"/>
        </w:rPr>
        <w:tab/>
      </w:r>
      <w:r w:rsidRPr="007744E9">
        <w:rPr>
          <w:rFonts w:ascii="Times New Roman" w:eastAsiaTheme="minorEastAsia" w:hAnsi="Times New Roman" w:cs="Times New Roman"/>
          <w:iCs/>
          <w:sz w:val="28"/>
          <w:szCs w:val="28"/>
        </w:rPr>
        <w:t>(17)</w:t>
      </w:r>
    </w:p>
    <w:p w14:paraId="54948E09" w14:textId="77777777" w:rsidR="002C584C" w:rsidRDefault="007744E9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где К(Т) и </w:t>
      </w:r>
      <w:r>
        <w:rPr>
          <w:rFonts w:ascii="Times New Roman" w:eastAsiaTheme="minorEastAsia" w:hAnsi="Times New Roman" w:cs="Times New Roman"/>
          <w:iCs/>
          <w:sz w:val="28"/>
          <w:szCs w:val="28"/>
          <w:lang w:val="en-US"/>
        </w:rPr>
        <w:t>L</w:t>
      </w:r>
      <w:r>
        <w:rPr>
          <w:rFonts w:ascii="Times New Roman" w:eastAsiaTheme="minorEastAsia" w:hAnsi="Times New Roman" w:cs="Times New Roman"/>
          <w:iCs/>
          <w:sz w:val="28"/>
          <w:szCs w:val="28"/>
        </w:rPr>
        <w:t>(</w:t>
      </w:r>
      <w:r>
        <w:rPr>
          <w:rFonts w:ascii="Times New Roman" w:eastAsiaTheme="minorEastAsia" w:hAnsi="Times New Roman" w:cs="Times New Roman"/>
          <w:iCs/>
          <w:sz w:val="28"/>
          <w:szCs w:val="28"/>
          <w:lang w:val="en-US"/>
        </w:rPr>
        <w:t>T</w:t>
      </w:r>
      <w:r>
        <w:rPr>
          <w:rFonts w:ascii="Times New Roman" w:eastAsiaTheme="minorEastAsia" w:hAnsi="Times New Roman" w:cs="Times New Roman"/>
          <w:iCs/>
          <w:sz w:val="28"/>
          <w:szCs w:val="28"/>
        </w:rPr>
        <w:t>) являются температурными функциями.</w:t>
      </w:r>
    </w:p>
    <w:p w14:paraId="6219DB17" w14:textId="77777777" w:rsidR="002C584C" w:rsidRDefault="007744E9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>
        <w:rPr>
          <w:rFonts w:ascii="Times New Roman" w:eastAsiaTheme="minorEastAsia" w:hAnsi="Times New Roman" w:cs="Times New Roman"/>
          <w:iCs/>
          <w:sz w:val="28"/>
          <w:szCs w:val="28"/>
        </w:rPr>
        <w:t>Измерения проводились в интервале температур 293÷623 К и давлении 0,1-60 МПа. Относительная погрешность расчета плотности по уравнению в сравнении с экспериментальными данными составила 0,2-0,3%.</w:t>
      </w:r>
    </w:p>
    <w:p w14:paraId="14F6E9CF" w14:textId="77777777" w:rsidR="002C584C" w:rsidRDefault="007744E9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Указанные выше уравнения предназначены для расчета плотности нефтей и </w:t>
      </w:r>
      <w:r>
        <w:rPr>
          <w:sz w:val="28"/>
          <w:szCs w:val="28"/>
        </w:rPr>
        <w:t>бензиновых нефтяных фракций</w:t>
      </w:r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в жидкой фазе вдали от линии насыщения. Считается, что они непригодны для описания плотности вблизи и на самой линии фазового перехода.</w:t>
      </w:r>
    </w:p>
    <w:p w14:paraId="5F74659E" w14:textId="77777777" w:rsidR="002C584C" w:rsidRDefault="007744E9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>
        <w:rPr>
          <w:rFonts w:ascii="Times New Roman" w:eastAsiaTheme="minorEastAsia" w:hAnsi="Times New Roman" w:cs="Times New Roman"/>
          <w:iCs/>
          <w:sz w:val="28"/>
          <w:szCs w:val="28"/>
        </w:rPr>
        <w:t>В работе [</w:t>
      </w:r>
      <w:r w:rsidR="00A876D8">
        <w:rPr>
          <w:rFonts w:ascii="Times New Roman" w:eastAsiaTheme="minorEastAsia" w:hAnsi="Times New Roman" w:cs="Times New Roman"/>
          <w:iCs/>
          <w:sz w:val="28"/>
          <w:szCs w:val="28"/>
        </w:rPr>
        <w:t>2</w:t>
      </w:r>
      <w:r>
        <w:rPr>
          <w:rFonts w:ascii="Times New Roman" w:eastAsiaTheme="minorEastAsia" w:hAnsi="Times New Roman" w:cs="Times New Roman"/>
          <w:iCs/>
          <w:sz w:val="28"/>
          <w:szCs w:val="28"/>
        </w:rPr>
        <w:t>] дается формула</w:t>
      </w:r>
      <w:r w:rsidR="00A876D8">
        <w:rPr>
          <w:rFonts w:ascii="Times New Roman" w:eastAsiaTheme="minorEastAsia" w:hAnsi="Times New Roman" w:cs="Times New Roman"/>
          <w:iCs/>
          <w:sz w:val="28"/>
          <w:szCs w:val="28"/>
        </w:rPr>
        <w:t xml:space="preserve"> </w:t>
      </w:r>
    </w:p>
    <w:p w14:paraId="0F6B39D0" w14:textId="77777777" w:rsidR="002C584C" w:rsidRDefault="00D1346F">
      <w:pPr>
        <w:spacing w:after="0" w:line="360" w:lineRule="auto"/>
        <w:ind w:left="2124"/>
        <w:rPr>
          <w:rFonts w:ascii="Times New Roman" w:eastAsiaTheme="minorEastAsia" w:hAnsi="Times New Roman" w:cs="Times New Roman"/>
          <w:iCs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ρ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жн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</w:rPr>
            </m:ctrlPr>
          </m:dPr>
          <m:e>
            <m:d>
              <m:dPr>
                <m:begChr m:val="["/>
                <m:endChr m:val="]"/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ρ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кр</m:t>
                        </m:r>
                      </m:sub>
                    </m:sSub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0,5</m:t>
                    </m:r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iCs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ρ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ж+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="Times New Roman"/>
                                    <w:i/>
                                    <w:iCs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</w:rPr>
                                  <m:t>ρ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  <w:lang w:val="en-US"/>
                                  </w:rPr>
                                  <m:t>n</m:t>
                                </m:r>
                              </m:sub>
                            </m:sSub>
                          </m:sub>
                        </m:sSub>
                      </m:e>
                    </m:d>
                  </m:den>
                </m:f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-1</m:t>
                </m:r>
              </m:e>
            </m:d>
            <m:f>
              <m:f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t-20</m:t>
                </m:r>
              </m:num>
              <m:den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кр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-20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+1</m:t>
            </m:r>
          </m:e>
        </m:d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ρ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ж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ρ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n</m:t>
                </m:r>
              </m:sub>
            </m:sSub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ρ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пн</m:t>
            </m:r>
          </m:sub>
        </m:sSub>
      </m:oMath>
      <w:r w:rsidR="007744E9">
        <w:rPr>
          <w:rFonts w:ascii="Times New Roman" w:eastAsiaTheme="minorEastAsia" w:hAnsi="Times New Roman" w:cs="Times New Roman"/>
          <w:iCs/>
          <w:sz w:val="28"/>
          <w:szCs w:val="28"/>
        </w:rPr>
        <w:t xml:space="preserve"> </w:t>
      </w:r>
      <w:r w:rsidR="007744E9">
        <w:rPr>
          <w:rFonts w:ascii="Times New Roman" w:eastAsiaTheme="minorEastAsia" w:hAnsi="Times New Roman" w:cs="Times New Roman"/>
          <w:iCs/>
          <w:sz w:val="28"/>
          <w:szCs w:val="28"/>
        </w:rPr>
        <w:tab/>
        <w:t xml:space="preserve">  (18)</w:t>
      </w:r>
    </w:p>
    <w:p w14:paraId="1F95AB1E" w14:textId="77777777" w:rsidR="002C584C" w:rsidRDefault="007744E9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где </w:t>
      </w:r>
      <w:r>
        <w:rPr>
          <w:rFonts w:ascii="Times New Roman" w:eastAsiaTheme="minorEastAsia" w:hAnsi="Times New Roman" w:cs="Times New Roman"/>
          <w:iCs/>
          <w:sz w:val="28"/>
          <w:szCs w:val="28"/>
        </w:rPr>
        <w:tab/>
        <w:t>ρ</w:t>
      </w:r>
      <w:r>
        <w:rPr>
          <w:rFonts w:ascii="Times New Roman" w:eastAsiaTheme="minorEastAsia" w:hAnsi="Times New Roman" w:cs="Times New Roman"/>
          <w:iCs/>
          <w:sz w:val="28"/>
          <w:szCs w:val="28"/>
          <w:vertAlign w:val="subscript"/>
        </w:rPr>
        <w:t xml:space="preserve">жн </w:t>
      </w:r>
      <w:r>
        <w:rPr>
          <w:rFonts w:ascii="Times New Roman" w:eastAsiaTheme="minorEastAsia" w:hAnsi="Times New Roman" w:cs="Times New Roman"/>
          <w:iCs/>
          <w:sz w:val="28"/>
          <w:szCs w:val="28"/>
        </w:rPr>
        <w:t>и ρ</w:t>
      </w:r>
      <w:r>
        <w:rPr>
          <w:rFonts w:ascii="Times New Roman" w:eastAsiaTheme="minorEastAsia" w:hAnsi="Times New Roman" w:cs="Times New Roman"/>
          <w:iCs/>
          <w:sz w:val="28"/>
          <w:szCs w:val="28"/>
          <w:vertAlign w:val="subscript"/>
        </w:rPr>
        <w:t>пнт</w:t>
      </w:r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-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плотности жидкости и паров топлива на </w:t>
      </w:r>
      <w:r w:rsidR="00A876D8">
        <w:rPr>
          <w:rFonts w:ascii="Times New Roman" w:eastAsiaTheme="minorEastAsia" w:hAnsi="Times New Roman" w:cs="Times New Roman"/>
          <w:sz w:val="28"/>
          <w:szCs w:val="28"/>
        </w:rPr>
        <w:t xml:space="preserve">линии насыщения при температуре </w:t>
      </w:r>
      <w:r>
        <w:rPr>
          <w:rFonts w:ascii="Times New Roman" w:eastAsiaTheme="minorEastAsia" w:hAnsi="Times New Roman" w:cs="Times New Roman"/>
          <w:sz w:val="28"/>
          <w:szCs w:val="28"/>
        </w:rPr>
        <w:t>;</w:t>
      </w:r>
    </w:p>
    <w:p w14:paraId="4BD26D79" w14:textId="77777777" w:rsidR="002C584C" w:rsidRDefault="007744E9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ρ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ж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и ρ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n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– плотности жидкости и паров топлива при 20</w:t>
      </w:r>
      <w:r>
        <w:rPr>
          <w:rFonts w:ascii="Times New Roman" w:hAnsi="Times New Roman" w:cs="Times New Roman"/>
          <w:sz w:val="28"/>
          <w:szCs w:val="28"/>
        </w:rPr>
        <w:t>ºС, кг/м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2BE910C" w14:textId="77777777" w:rsidR="002C584C" w:rsidRDefault="007744E9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Для расчета плотности </w:t>
      </w:r>
      <w:r w:rsidR="00F46BA8">
        <w:rPr>
          <w:rFonts w:ascii="Times New Roman" w:hAnsi="Times New Roman" w:cs="Times New Roman"/>
          <w:sz w:val="28"/>
          <w:szCs w:val="28"/>
        </w:rPr>
        <w:t xml:space="preserve">насыщенного </w:t>
      </w:r>
      <w:r>
        <w:rPr>
          <w:rFonts w:ascii="Times New Roman" w:hAnsi="Times New Roman" w:cs="Times New Roman"/>
          <w:sz w:val="28"/>
          <w:szCs w:val="28"/>
        </w:rPr>
        <w:t>пар</w:t>
      </w:r>
      <w:r w:rsidR="00F46BA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на лини</w:t>
      </w:r>
      <w:r w:rsidR="00F46BA8">
        <w:rPr>
          <w:rFonts w:ascii="Times New Roman" w:hAnsi="Times New Roman" w:cs="Times New Roman"/>
          <w:sz w:val="28"/>
          <w:szCs w:val="28"/>
        </w:rPr>
        <w:t>ях</w:t>
      </w:r>
      <w:r>
        <w:rPr>
          <w:rFonts w:ascii="Times New Roman" w:hAnsi="Times New Roman" w:cs="Times New Roman"/>
          <w:sz w:val="28"/>
          <w:szCs w:val="28"/>
        </w:rPr>
        <w:t xml:space="preserve"> насыщения </w:t>
      </w:r>
      <w:r>
        <w:rPr>
          <w:rFonts w:ascii="Times New Roman" w:eastAsiaTheme="minorEastAsia" w:hAnsi="Times New Roman" w:cs="Times New Roman"/>
          <w:sz w:val="28"/>
          <w:szCs w:val="28"/>
        </w:rPr>
        <w:t>ρ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n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с погрешностью не более 1% </w:t>
      </w:r>
      <w:r w:rsidR="00F46BA8">
        <w:rPr>
          <w:rFonts w:ascii="Times New Roman" w:eastAsiaTheme="minorEastAsia" w:hAnsi="Times New Roman" w:cs="Times New Roman"/>
          <w:sz w:val="28"/>
          <w:szCs w:val="28"/>
        </w:rPr>
        <w:t>применяется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формула</w:t>
      </w:r>
    </w:p>
    <w:p w14:paraId="43CF6E3F" w14:textId="77777777" w:rsidR="002C584C" w:rsidRDefault="00D1346F">
      <w:pPr>
        <w:spacing w:after="0" w:line="360" w:lineRule="auto"/>
        <w:ind w:left="2832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ρ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пн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МР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н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Z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н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RT∙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sup>
            </m:sSup>
          </m:den>
        </m:f>
      </m:oMath>
      <w:r w:rsidR="00F46BA8">
        <w:rPr>
          <w:rFonts w:ascii="Times New Roman" w:eastAsiaTheme="minorEastAsia" w:hAnsi="Times New Roman" w:cs="Times New Roman"/>
          <w:sz w:val="28"/>
          <w:szCs w:val="28"/>
        </w:rPr>
        <w:tab/>
      </w:r>
      <w:r w:rsidR="00F46BA8">
        <w:rPr>
          <w:rFonts w:ascii="Times New Roman" w:eastAsiaTheme="minorEastAsia" w:hAnsi="Times New Roman" w:cs="Times New Roman"/>
          <w:sz w:val="28"/>
          <w:szCs w:val="28"/>
        </w:rPr>
        <w:tab/>
      </w:r>
      <w:r w:rsidR="00F46BA8">
        <w:rPr>
          <w:rFonts w:ascii="Times New Roman" w:eastAsiaTheme="minorEastAsia" w:hAnsi="Times New Roman" w:cs="Times New Roman"/>
          <w:sz w:val="28"/>
          <w:szCs w:val="28"/>
        </w:rPr>
        <w:tab/>
      </w:r>
      <w:r w:rsidR="00F46BA8">
        <w:rPr>
          <w:rFonts w:ascii="Times New Roman" w:eastAsiaTheme="minorEastAsia" w:hAnsi="Times New Roman" w:cs="Times New Roman"/>
          <w:sz w:val="28"/>
          <w:szCs w:val="28"/>
        </w:rPr>
        <w:tab/>
      </w:r>
      <w:r w:rsidR="00F46BA8">
        <w:rPr>
          <w:rFonts w:ascii="Times New Roman" w:eastAsiaTheme="minorEastAsia" w:hAnsi="Times New Roman" w:cs="Times New Roman"/>
          <w:sz w:val="28"/>
          <w:szCs w:val="28"/>
        </w:rPr>
        <w:tab/>
        <w:t xml:space="preserve">  </w:t>
      </w:r>
      <w:r w:rsidR="007744E9">
        <w:rPr>
          <w:rFonts w:ascii="Times New Roman" w:eastAsiaTheme="minorEastAsia" w:hAnsi="Times New Roman" w:cs="Times New Roman"/>
          <w:sz w:val="28"/>
          <w:szCs w:val="28"/>
        </w:rPr>
        <w:t xml:space="preserve">   (19)</w:t>
      </w:r>
    </w:p>
    <w:p w14:paraId="07C54E84" w14:textId="77777777" w:rsidR="002C584C" w:rsidRDefault="007744E9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>
        <w:rPr>
          <w:rFonts w:ascii="Times New Roman" w:eastAsiaTheme="minorEastAsia" w:hAnsi="Times New Roman" w:cs="Times New Roman"/>
          <w:iCs/>
          <w:sz w:val="28"/>
          <w:szCs w:val="28"/>
          <w:lang w:val="en-US"/>
        </w:rPr>
        <w:t>Z</w:t>
      </w:r>
      <w:r>
        <w:rPr>
          <w:rFonts w:ascii="Times New Roman" w:eastAsiaTheme="minorEastAsia" w:hAnsi="Times New Roman" w:cs="Times New Roman"/>
          <w:iCs/>
          <w:sz w:val="28"/>
          <w:szCs w:val="28"/>
          <w:vertAlign w:val="subscript"/>
        </w:rPr>
        <w:t>н</w:t>
      </w:r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– фактор сжимаемости паров на линии насыщения, который подсчитывается по формуле:</w:t>
      </w:r>
    </w:p>
    <w:p w14:paraId="3761D972" w14:textId="77777777" w:rsidR="002C584C" w:rsidRDefault="00D1346F">
      <w:pPr>
        <w:spacing w:after="0" w:line="360" w:lineRule="auto"/>
        <w:ind w:left="2832" w:firstLine="709"/>
        <w:rPr>
          <w:rFonts w:ascii="Times New Roman" w:eastAsiaTheme="minorEastAsia" w:hAnsi="Times New Roman" w:cs="Times New Roman"/>
          <w:iCs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Z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н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Sup>
          <m:sSubSup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Z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н</m:t>
            </m:r>
          </m:sub>
          <m:sup>
            <m:d>
              <m:d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</m:t>
                </m:r>
              </m:e>
            </m:d>
          </m:sup>
        </m:sSubSup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W</m:t>
        </m:r>
        <m:sSubSup>
          <m:sSubSup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Z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н</m:t>
            </m:r>
          </m:sub>
          <m:sup>
            <m:d>
              <m:d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e>
            </m:d>
          </m:sup>
        </m:sSubSup>
      </m:oMath>
      <w:r w:rsidR="007744E9" w:rsidRPr="007744E9">
        <w:rPr>
          <w:rFonts w:ascii="Times New Roman" w:eastAsiaTheme="minorEastAsia" w:hAnsi="Times New Roman" w:cs="Times New Roman"/>
          <w:sz w:val="28"/>
          <w:szCs w:val="28"/>
        </w:rPr>
        <w:tab/>
      </w:r>
      <w:r w:rsidR="007744E9" w:rsidRPr="007744E9">
        <w:rPr>
          <w:rFonts w:ascii="Times New Roman" w:eastAsiaTheme="minorEastAsia" w:hAnsi="Times New Roman" w:cs="Times New Roman"/>
          <w:sz w:val="28"/>
          <w:szCs w:val="28"/>
        </w:rPr>
        <w:tab/>
      </w:r>
      <w:r w:rsidR="007744E9" w:rsidRPr="007744E9">
        <w:rPr>
          <w:rFonts w:ascii="Times New Roman" w:eastAsiaTheme="minorEastAsia" w:hAnsi="Times New Roman" w:cs="Times New Roman"/>
          <w:sz w:val="28"/>
          <w:szCs w:val="28"/>
        </w:rPr>
        <w:tab/>
      </w:r>
      <w:r w:rsidR="007744E9" w:rsidRPr="007744E9">
        <w:rPr>
          <w:rFonts w:ascii="Times New Roman" w:eastAsiaTheme="minorEastAsia" w:hAnsi="Times New Roman" w:cs="Times New Roman"/>
          <w:sz w:val="28"/>
          <w:szCs w:val="28"/>
        </w:rPr>
        <w:tab/>
        <w:t xml:space="preserve"> </w:t>
      </w:r>
      <w:r w:rsidR="007744E9">
        <w:rPr>
          <w:rFonts w:ascii="Times New Roman" w:eastAsiaTheme="minorEastAsia" w:hAnsi="Times New Roman" w:cs="Times New Roman"/>
          <w:sz w:val="28"/>
          <w:szCs w:val="28"/>
        </w:rPr>
        <w:t>(20)</w:t>
      </w:r>
    </w:p>
    <w:p w14:paraId="3FDFCCCC" w14:textId="77777777" w:rsidR="002C584C" w:rsidRDefault="007744E9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Значения корреляционных функций </w:t>
      </w:r>
      <m:oMath>
        <m:sSubSup>
          <m:sSubSup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Z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н</m:t>
            </m:r>
          </m:sub>
          <m:sup>
            <m:d>
              <m:d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</m:t>
                </m:r>
              </m:e>
            </m:d>
          </m:sup>
        </m:sSubSup>
      </m:oMath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и </w:t>
      </w:r>
      <m:oMath>
        <m:sSubSup>
          <m:sSubSup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Z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н</m:t>
            </m:r>
          </m:sub>
          <m:sup>
            <m:d>
              <m:d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н</m:t>
                </m:r>
              </m:e>
            </m:d>
          </m:sup>
        </m:sSubSup>
      </m:oMath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табулированы для топлив, а фактор ацентричности вычисляется по формуле:</w:t>
      </w:r>
    </w:p>
    <w:p w14:paraId="07C0748C" w14:textId="77777777" w:rsidR="002C584C" w:rsidRDefault="007744E9">
      <w:pPr>
        <w:spacing w:after="0" w:line="360" w:lineRule="auto"/>
        <w:ind w:left="2832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W=-lg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пр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-1,00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 w:rsidR="00A876D8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(21)</w:t>
      </w:r>
    </w:p>
    <w:p w14:paraId="7D43C871" w14:textId="77777777" w:rsidR="002C584C" w:rsidRDefault="007744E9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пр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Р</m:t>
            </m:r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Р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кр</m:t>
                </m:r>
              </m:sub>
            </m:sSub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– приведенное давление паров при приведенной температуре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Т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пр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Т</m:t>
            </m:r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Т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пкр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=0,7</m:t>
        </m:r>
      </m:oMath>
    </w:p>
    <w:p w14:paraId="2C6D8FFD" w14:textId="77777777" w:rsidR="002C584C" w:rsidRDefault="007744E9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Недостатком формул является их сложность.</w:t>
      </w:r>
    </w:p>
    <w:p w14:paraId="023996FC" w14:textId="77777777" w:rsidR="002C584C" w:rsidRDefault="00F85A91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Авторами работы [2</w:t>
      </w:r>
      <w:r w:rsidR="007744E9">
        <w:rPr>
          <w:rFonts w:ascii="Times New Roman" w:eastAsiaTheme="minorEastAsia" w:hAnsi="Times New Roman" w:cs="Times New Roman"/>
          <w:sz w:val="28"/>
          <w:szCs w:val="28"/>
        </w:rPr>
        <w:t xml:space="preserve">] указывается, что для описания плотности нефти на линии насыщения ими было использовано уравнение Филиппова </w:t>
      </w:r>
    </w:p>
    <w:p w14:paraId="7661EC41" w14:textId="77777777" w:rsidR="002C584C" w:rsidRDefault="007744E9">
      <w:pPr>
        <w:spacing w:after="0" w:line="360" w:lineRule="auto"/>
        <w:ind w:left="1416" w:firstLine="709"/>
        <w:rPr>
          <w:rFonts w:ascii="Times New Roman" w:eastAsiaTheme="minorEastAsia" w:hAnsi="Times New Roman" w:cs="Times New Roman"/>
          <w:iCs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ω=1+0,85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1-τ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Ψ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1-τ</m:t>
                </m:r>
              </m:e>
            </m:d>
          </m:e>
          <m:sup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den>
            </m:f>
          </m:sup>
        </m:sSup>
      </m:oMath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; </w:t>
      </w:r>
      <w:r>
        <w:rPr>
          <w:rFonts w:ascii="Times New Roman" w:eastAsiaTheme="minorEastAsia" w:hAnsi="Times New Roman" w:cs="Times New Roman"/>
          <w:iCs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iCs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iCs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iCs/>
          <w:sz w:val="28"/>
          <w:szCs w:val="28"/>
        </w:rPr>
        <w:tab/>
        <w:t> (22)</w:t>
      </w:r>
    </w:p>
    <w:p w14:paraId="25B167FD" w14:textId="77777777" w:rsidR="002C584C" w:rsidRDefault="007744E9">
      <w:pPr>
        <w:spacing w:after="0" w:line="360" w:lineRule="auto"/>
        <w:ind w:left="1416" w:firstLine="709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Ψ</m:t>
        </m:r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Ψ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0,592-lgA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∙</m:t>
        </m:r>
        <m:sSub>
          <m:sSubPr>
            <m:ctrlPr>
              <w:rPr>
                <w:rFonts w:ascii="Cambria Math" w:eastAsiaTheme="minorEastAsia" w:hAnsi="Cambria Math" w:cs="Times New Roman"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Ψ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</m:oMath>
      <w:r w:rsidR="00A876D8">
        <w:rPr>
          <w:rFonts w:ascii="Times New Roman" w:eastAsiaTheme="minorEastAsia" w:hAnsi="Times New Roman" w:cs="Times New Roman"/>
          <w:sz w:val="28"/>
          <w:szCs w:val="28"/>
        </w:rPr>
        <w:t xml:space="preserve">; </w:t>
      </w:r>
      <w:r w:rsidR="00A876D8">
        <w:rPr>
          <w:rFonts w:ascii="Times New Roman" w:eastAsiaTheme="minorEastAsia" w:hAnsi="Times New Roman" w:cs="Times New Roman"/>
          <w:sz w:val="28"/>
          <w:szCs w:val="28"/>
        </w:rPr>
        <w:tab/>
      </w:r>
      <w:r w:rsidR="00A876D8">
        <w:rPr>
          <w:rFonts w:ascii="Times New Roman" w:eastAsiaTheme="minorEastAsia" w:hAnsi="Times New Roman" w:cs="Times New Roman"/>
          <w:sz w:val="28"/>
          <w:szCs w:val="28"/>
        </w:rPr>
        <w:tab/>
      </w:r>
      <w:r w:rsidR="00A876D8">
        <w:rPr>
          <w:rFonts w:ascii="Times New Roman" w:eastAsiaTheme="minorEastAsia" w:hAnsi="Times New Roman" w:cs="Times New Roman"/>
          <w:sz w:val="28"/>
          <w:szCs w:val="28"/>
        </w:rPr>
        <w:tab/>
      </w:r>
      <w:r w:rsidR="00A876D8">
        <w:rPr>
          <w:rFonts w:ascii="Times New Roman" w:eastAsiaTheme="minorEastAsia" w:hAnsi="Times New Roman" w:cs="Times New Roman"/>
          <w:sz w:val="28"/>
          <w:szCs w:val="28"/>
        </w:rPr>
        <w:tab/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  (23)</w:t>
      </w:r>
    </w:p>
    <w:p w14:paraId="21EF0E62" w14:textId="77777777" w:rsidR="002C584C" w:rsidRPr="007744E9" w:rsidRDefault="00D1346F">
      <w:pPr>
        <w:spacing w:after="0" w:line="360" w:lineRule="auto"/>
        <w:ind w:left="1416" w:firstLine="709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Ψ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=2,597+4,2069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τ</m:t>
        </m:r>
        <m:r>
          <w:rPr>
            <w:rFonts w:ascii="Cambria Math" w:eastAsiaTheme="minorEastAsia" w:hAnsi="Cambria Math" w:cs="Times New Roman"/>
            <w:sz w:val="28"/>
            <w:szCs w:val="28"/>
          </w:rPr>
          <m:t>+6,2865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τ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-2,9514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τ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;</m:t>
        </m:r>
      </m:oMath>
      <w:r w:rsidR="00A876D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A876D8">
        <w:rPr>
          <w:rFonts w:ascii="Times New Roman" w:eastAsiaTheme="minorEastAsia" w:hAnsi="Times New Roman" w:cs="Times New Roman"/>
          <w:sz w:val="28"/>
          <w:szCs w:val="28"/>
        </w:rPr>
        <w:tab/>
        <w:t xml:space="preserve">  </w:t>
      </w:r>
      <w:r w:rsidR="007744E9"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  <w:r w:rsidR="007744E9" w:rsidRPr="007744E9">
        <w:rPr>
          <w:rFonts w:ascii="Times New Roman" w:eastAsiaTheme="minorEastAsia" w:hAnsi="Times New Roman" w:cs="Times New Roman"/>
          <w:sz w:val="28"/>
          <w:szCs w:val="28"/>
        </w:rPr>
        <w:t>(24)</w:t>
      </w:r>
    </w:p>
    <w:p w14:paraId="6B07854A" w14:textId="77777777" w:rsidR="002C584C" w:rsidRPr="007744E9" w:rsidRDefault="00D1346F">
      <w:pPr>
        <w:spacing w:after="0" w:line="360" w:lineRule="auto"/>
        <w:ind w:left="1416" w:firstLine="709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Ψ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=-0,555+5,444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τ</m:t>
        </m:r>
        <m:r>
          <w:rPr>
            <w:rFonts w:ascii="Cambria Math" w:eastAsiaTheme="minorEastAsia" w:hAnsi="Cambria Math" w:cs="Times New Roman"/>
            <w:sz w:val="28"/>
            <w:szCs w:val="28"/>
          </w:rPr>
          <m:t>-8,345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τ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+3,819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τ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;</m:t>
        </m:r>
      </m:oMath>
      <w:r w:rsidR="00A876D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A876D8">
        <w:rPr>
          <w:rFonts w:ascii="Times New Roman" w:eastAsiaTheme="minorEastAsia" w:hAnsi="Times New Roman" w:cs="Times New Roman"/>
          <w:sz w:val="28"/>
          <w:szCs w:val="28"/>
        </w:rPr>
        <w:tab/>
      </w:r>
      <w:r w:rsidR="00A876D8">
        <w:rPr>
          <w:rFonts w:ascii="Times New Roman" w:eastAsiaTheme="minorEastAsia" w:hAnsi="Times New Roman" w:cs="Times New Roman"/>
          <w:sz w:val="28"/>
          <w:szCs w:val="28"/>
        </w:rPr>
        <w:tab/>
        <w:t xml:space="preserve"> </w:t>
      </w:r>
      <w:r w:rsidR="007744E9" w:rsidRPr="007744E9">
        <w:rPr>
          <w:rFonts w:ascii="Times New Roman" w:eastAsiaTheme="minorEastAsia" w:hAnsi="Times New Roman" w:cs="Times New Roman"/>
          <w:sz w:val="28"/>
          <w:szCs w:val="28"/>
        </w:rPr>
        <w:t xml:space="preserve">    (25) </w:t>
      </w:r>
    </w:p>
    <w:p w14:paraId="1A9150DC" w14:textId="77777777" w:rsidR="002C584C" w:rsidRDefault="007744E9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где</w:t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ω=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ρ</m:t>
            </m:r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ρ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кр</m:t>
                </m:r>
              </m:sub>
            </m:sSub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– приведенное значение плотности;</w:t>
      </w:r>
    </w:p>
    <w:p w14:paraId="53D7CDD4" w14:textId="77777777" w:rsidR="002C584C" w:rsidRDefault="007744E9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ρ=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Т</m:t>
            </m:r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Т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кр</m:t>
                </m:r>
              </m:sub>
            </m:sSub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– приведенное значение температуры;</w:t>
      </w:r>
    </w:p>
    <w:p w14:paraId="190029EA" w14:textId="77777777" w:rsidR="002C584C" w:rsidRDefault="007744E9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Однако о результатах расчета по уравнению в работе [35] не указывается.</w:t>
      </w:r>
    </w:p>
    <w:p w14:paraId="3654BF10" w14:textId="77777777" w:rsidR="002C584C" w:rsidRDefault="007744E9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 заключении обзора следует отметить уравнение для расчета плотности жидких н-пар</w:t>
      </w:r>
      <w:r w:rsidR="00F85A91">
        <w:rPr>
          <w:rFonts w:ascii="Times New Roman" w:eastAsiaTheme="minorEastAsia" w:hAnsi="Times New Roman" w:cs="Times New Roman"/>
          <w:sz w:val="28"/>
          <w:szCs w:val="28"/>
        </w:rPr>
        <w:t>афинов на линии насыщения [2</w:t>
      </w:r>
      <w:r>
        <w:rPr>
          <w:rFonts w:ascii="Times New Roman" w:eastAsiaTheme="minorEastAsia" w:hAnsi="Times New Roman" w:cs="Times New Roman"/>
          <w:sz w:val="28"/>
          <w:szCs w:val="28"/>
        </w:rPr>
        <w:t>]:</w:t>
      </w:r>
    </w:p>
    <w:p w14:paraId="6C32A678" w14:textId="77777777" w:rsidR="002C584C" w:rsidRDefault="00D1346F">
      <w:pPr>
        <w:spacing w:after="0" w:line="360" w:lineRule="auto"/>
        <w:ind w:left="1416"/>
        <w:rPr>
          <w:rFonts w:ascii="Times New Roman" w:eastAsiaTheme="minorEastAsia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ρ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℩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М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∙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K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0,21349-0,09134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T</m:t>
                </m:r>
              </m:num>
              <m:den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kp</m:t>
                    </m:r>
                  </m:sub>
                </m:sSub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2,0423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548,15-507,85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T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kp</m:t>
                        </m:r>
                      </m:sub>
                    </m:sSub>
                  </m:den>
                </m:f>
              </m:den>
            </m:f>
          </m:e>
        </m:d>
      </m:oMath>
      <w:r w:rsidR="00A876D8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</w:t>
      </w:r>
      <w:r w:rsidR="007744E9">
        <w:rPr>
          <w:rFonts w:ascii="Times New Roman" w:eastAsiaTheme="minorEastAsia" w:hAnsi="Times New Roman" w:cs="Times New Roman"/>
          <w:sz w:val="28"/>
          <w:szCs w:val="28"/>
        </w:rPr>
        <w:t xml:space="preserve"> (26)</w:t>
      </w:r>
    </w:p>
    <w:p w14:paraId="6E294BBE" w14:textId="77777777" w:rsidR="002C584C" w:rsidRDefault="007744E9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где</w:t>
      </w:r>
      <w:r>
        <w:rPr>
          <w:rFonts w:ascii="Times New Roman" w:eastAsiaTheme="minorEastAsia" w:hAnsi="Times New Roman" w:cs="Times New Roman"/>
          <w:sz w:val="28"/>
          <w:szCs w:val="28"/>
        </w:rPr>
        <w:tab/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М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– отношение молекулярного веса к числу атомов в молекуле;</w:t>
      </w:r>
    </w:p>
    <w:p w14:paraId="414BA57E" w14:textId="77777777" w:rsidR="002C584C" w:rsidRDefault="007744E9">
      <w:pPr>
        <w:spacing w:after="0" w:line="360" w:lineRule="auto"/>
        <w:ind w:left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К – коэффициент, зависит от особенностей вещества и для всех гомологов, ряда н-парафинов, за исключением метана, этана и пропана, равен 1.</w:t>
      </w:r>
    </w:p>
    <w:p w14:paraId="0E18BB27" w14:textId="77777777" w:rsidR="002C584C" w:rsidRDefault="007744E9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Уравнение описывает надежные данные по н-алканам в пределах температур от тройной точки до 0,99τ с погрешностью не более 0,5%.</w:t>
      </w:r>
    </w:p>
    <w:p w14:paraId="65D07B9E" w14:textId="77777777" w:rsidR="002C584C" w:rsidRDefault="007744E9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Из анализа методов следует, что для расчета плотности </w:t>
      </w:r>
      <w:r>
        <w:rPr>
          <w:sz w:val="28"/>
          <w:szCs w:val="28"/>
        </w:rPr>
        <w:t>бензиновых нефтяных фракций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под давлением наиболее приемлемым с точки зрения точности и простоты является уравнение Тэйта и Ахундова-Иманова. Уравнения, описывающие плотность нефтепродуктов на линиях насыщения являются эмпирическими уравнениями с большим числом коэффициентов и предназначены в основном для узкого круга веществ, поэтому необходима разработка более простых методов, обеспечивающих надежные результаты расчета в широкой области параметров состояния.</w:t>
      </w:r>
    </w:p>
    <w:p w14:paraId="0A233BF0" w14:textId="77777777" w:rsidR="002C584C" w:rsidRDefault="002C584C">
      <w:pPr>
        <w:pStyle w:val="ListParagraph"/>
        <w:spacing w:after="0" w:line="360" w:lineRule="auto"/>
        <w:ind w:left="709"/>
        <w:contextualSpacing w:val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14:paraId="04BF0A02" w14:textId="77777777" w:rsidR="002C584C" w:rsidRPr="00940F31" w:rsidRDefault="007744E9">
      <w:pPr>
        <w:pStyle w:val="ListParagraph"/>
        <w:spacing w:after="0" w:line="360" w:lineRule="auto"/>
        <w:ind w:left="709"/>
        <w:contextualSpacing w:val="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940F31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Список литературы </w:t>
      </w:r>
    </w:p>
    <w:p w14:paraId="2FEF9B76" w14:textId="77777777" w:rsidR="002C584C" w:rsidRPr="00940F31" w:rsidRDefault="007744E9" w:rsidP="00E62B85">
      <w:pPr>
        <w:pStyle w:val="ListParagraph"/>
        <w:tabs>
          <w:tab w:val="left" w:pos="851"/>
        </w:tabs>
        <w:spacing w:after="0" w:line="276" w:lineRule="auto"/>
        <w:ind w:left="0" w:firstLineChars="236" w:firstLine="56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40F31">
        <w:rPr>
          <w:rFonts w:ascii="Times New Roman" w:hAnsi="Times New Roman" w:cs="Times New Roman"/>
          <w:sz w:val="24"/>
          <w:szCs w:val="24"/>
        </w:rPr>
        <w:t>1. Харченко П. М. Методы исследования давления насыщенных паров и экспериментальные установки/ П. М. Харченко, В. П. Тимофеев, Д. С. Чижов//Научный журнал КубГАУ. Краснодар. 2015.№106(02).</w:t>
      </w:r>
    </w:p>
    <w:p w14:paraId="162BC234" w14:textId="77777777" w:rsidR="002C584C" w:rsidRPr="00940F31" w:rsidRDefault="006C3FB8" w:rsidP="00E62B85">
      <w:pPr>
        <w:pStyle w:val="ListParagraph"/>
        <w:tabs>
          <w:tab w:val="left" w:pos="851"/>
        </w:tabs>
        <w:spacing w:after="0" w:line="276" w:lineRule="auto"/>
        <w:ind w:left="0" w:firstLineChars="236" w:firstLine="566"/>
        <w:contextualSpacing w:val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0F31">
        <w:rPr>
          <w:rFonts w:ascii="Times New Roman" w:hAnsi="Times New Roman" w:cs="Times New Roman"/>
          <w:sz w:val="24"/>
          <w:szCs w:val="24"/>
        </w:rPr>
        <w:t>2</w:t>
      </w:r>
      <w:r w:rsidR="007744E9" w:rsidRPr="00940F31">
        <w:rPr>
          <w:rFonts w:ascii="Times New Roman" w:hAnsi="Times New Roman" w:cs="Times New Roman"/>
          <w:sz w:val="24"/>
          <w:szCs w:val="24"/>
        </w:rPr>
        <w:t>. Харченко П. М. Результаты экспериментальных исследований бензиновых нефтяных фракций/ П. М. Харченко, В. П. Тимофеев//Научный журнал КубГАУ. Краснодар</w:t>
      </w:r>
      <w:r w:rsidR="007744E9" w:rsidRPr="00940F31">
        <w:rPr>
          <w:rFonts w:ascii="Times New Roman" w:hAnsi="Times New Roman" w:cs="Times New Roman"/>
          <w:sz w:val="24"/>
          <w:szCs w:val="24"/>
          <w:lang w:val="en-US"/>
        </w:rPr>
        <w:t>. 2014.№98(04).</w:t>
      </w:r>
    </w:p>
    <w:p w14:paraId="27C6118B" w14:textId="77777777" w:rsidR="00940F31" w:rsidRPr="00F578DF" w:rsidRDefault="00940F31" w:rsidP="00940F31">
      <w:pPr>
        <w:pStyle w:val="ListParagraph"/>
        <w:spacing w:after="0" w:line="360" w:lineRule="auto"/>
        <w:ind w:leftChars="210" w:left="462" w:firstLineChars="105" w:firstLine="253"/>
        <w:contextualSpacing w:val="0"/>
        <w:jc w:val="both"/>
        <w:rPr>
          <w:rFonts w:ascii="Times New Roman" w:eastAsia="Times New Roman" w:hAnsi="Times New Roman"/>
          <w:b/>
          <w:bCs/>
          <w:sz w:val="24"/>
          <w:szCs w:val="24"/>
          <w:lang w:val="en-US"/>
        </w:rPr>
      </w:pPr>
    </w:p>
    <w:p w14:paraId="749BD45D" w14:textId="77777777" w:rsidR="00940F31" w:rsidRPr="00F578DF" w:rsidRDefault="00940F31" w:rsidP="00940F31">
      <w:pPr>
        <w:pStyle w:val="ListParagraph"/>
        <w:spacing w:after="0" w:line="360" w:lineRule="auto"/>
        <w:ind w:leftChars="210" w:left="462" w:firstLineChars="105" w:firstLine="253"/>
        <w:contextualSpacing w:val="0"/>
        <w:jc w:val="both"/>
        <w:rPr>
          <w:rFonts w:ascii="Times New Roman" w:eastAsia="Times New Roman" w:hAnsi="Times New Roman"/>
          <w:b/>
          <w:bCs/>
          <w:sz w:val="24"/>
          <w:szCs w:val="24"/>
          <w:lang w:val="en-US"/>
        </w:rPr>
      </w:pPr>
    </w:p>
    <w:p w14:paraId="192EEFF2" w14:textId="64AFAF9A" w:rsidR="002C584C" w:rsidRPr="00940F31" w:rsidRDefault="00D67EB9" w:rsidP="00940F31">
      <w:pPr>
        <w:pStyle w:val="ListParagraph"/>
        <w:spacing w:after="0" w:line="360" w:lineRule="auto"/>
        <w:ind w:leftChars="210" w:left="462" w:firstLineChars="105" w:firstLine="253"/>
        <w:contextualSpacing w:val="0"/>
        <w:jc w:val="both"/>
        <w:rPr>
          <w:rFonts w:ascii="Times New Roman" w:eastAsia="Times New Roman" w:hAnsi="Times New Roman"/>
          <w:b/>
          <w:bCs/>
          <w:sz w:val="24"/>
          <w:szCs w:val="24"/>
          <w:lang w:val="en-US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en-US"/>
        </w:rPr>
        <w:lastRenderedPageBreak/>
        <w:t>References</w:t>
      </w:r>
    </w:p>
    <w:p w14:paraId="2169698E" w14:textId="77777777" w:rsidR="00D67EB9" w:rsidRPr="00D67EB9" w:rsidRDefault="00D67EB9" w:rsidP="00D67EB9">
      <w:pPr>
        <w:tabs>
          <w:tab w:val="left" w:pos="1243"/>
          <w:tab w:val="left" w:pos="1322"/>
        </w:tabs>
        <w:spacing w:line="276" w:lineRule="auto"/>
        <w:ind w:firstLineChars="91" w:firstLine="218"/>
        <w:rPr>
          <w:rFonts w:ascii="Times New Roman" w:eastAsia="Times New Roman" w:hAnsi="Times New Roman"/>
          <w:sz w:val="24"/>
          <w:szCs w:val="24"/>
          <w:lang w:val="en-US"/>
        </w:rPr>
      </w:pPr>
      <w:r w:rsidRPr="00D67EB9">
        <w:rPr>
          <w:rFonts w:ascii="Times New Roman" w:eastAsia="Times New Roman" w:hAnsi="Times New Roman"/>
          <w:sz w:val="24"/>
          <w:szCs w:val="24"/>
          <w:lang w:val="en-US"/>
        </w:rPr>
        <w:t>1. Harchenko P. M. Metody issledovanija davlenija nasyshhennyh parov i jeksperimental'nye ustanovki/ P. M. Harchenko, V. P. Timofeev, D. S. Chizhov//Nauchnyj zhurnal KubGAU. Krasnodar. 2015.№106(02).</w:t>
      </w:r>
    </w:p>
    <w:p w14:paraId="7DBF714A" w14:textId="640338C9" w:rsidR="002C584C" w:rsidRPr="00940F31" w:rsidRDefault="00D67EB9" w:rsidP="00D67EB9">
      <w:pPr>
        <w:tabs>
          <w:tab w:val="left" w:pos="1243"/>
          <w:tab w:val="left" w:pos="1322"/>
        </w:tabs>
        <w:spacing w:line="276" w:lineRule="auto"/>
        <w:ind w:firstLineChars="91" w:firstLine="218"/>
        <w:rPr>
          <w:rFonts w:ascii="Times New Roman" w:eastAsia="Times New Roman" w:hAnsi="Times New Roman"/>
          <w:sz w:val="24"/>
          <w:szCs w:val="24"/>
          <w:lang w:val="en-US"/>
        </w:rPr>
      </w:pPr>
      <w:r w:rsidRPr="00D67EB9">
        <w:rPr>
          <w:rFonts w:ascii="Times New Roman" w:eastAsia="Times New Roman" w:hAnsi="Times New Roman"/>
          <w:sz w:val="24"/>
          <w:szCs w:val="24"/>
          <w:lang w:val="en-US"/>
        </w:rPr>
        <w:t>2. Harchenko P. M. Rezul'taty jeksperimental'nyh issledovanij benzinovyh neftjanyh frakcij/ P. M. Harchenko, V. P. Timofeev//Nauchnyj zhurnal KubGAU. Krasnodar. 2014.№98(04).</w:t>
      </w:r>
    </w:p>
    <w:sectPr w:rsidR="002C584C" w:rsidRPr="00940F31" w:rsidSect="00CA72D8">
      <w:headerReference w:type="even" r:id="rId7"/>
      <w:headerReference w:type="default" r:id="rId8"/>
      <w:footerReference w:type="default" r:id="rId9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E0C35" w14:textId="77777777" w:rsidR="00D1346F" w:rsidRDefault="00D1346F" w:rsidP="00050D4C">
      <w:pPr>
        <w:spacing w:after="0" w:line="240" w:lineRule="auto"/>
      </w:pPr>
      <w:r>
        <w:separator/>
      </w:r>
    </w:p>
  </w:endnote>
  <w:endnote w:type="continuationSeparator" w:id="0">
    <w:p w14:paraId="5D399598" w14:textId="77777777" w:rsidR="00D1346F" w:rsidRDefault="00D1346F" w:rsidP="00050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40AD4" w14:textId="385E6786" w:rsidR="00B23B53" w:rsidRPr="00B23B53" w:rsidRDefault="00B23B53">
    <w:pPr>
      <w:pStyle w:val="Footer"/>
      <w:rPr>
        <w:lang w:val="en-US"/>
      </w:rPr>
    </w:pPr>
    <w:hyperlink r:id="rId1" w:history="1">
      <w:r w:rsidRPr="007B39CD">
        <w:rPr>
          <w:rStyle w:val="Hyperlink"/>
          <w:rFonts w:ascii="Times New Roman" w:hAnsi="Times New Roman" w:cs="Times New Roman"/>
          <w:sz w:val="24"/>
          <w:szCs w:val="24"/>
        </w:rPr>
        <w:t>http://ej.kubagro.ru/2023/06/pdf/</w:t>
      </w:r>
      <w:r w:rsidRPr="007B39CD">
        <w:rPr>
          <w:rStyle w:val="Hyperlink"/>
          <w:rFonts w:ascii="Times New Roman" w:hAnsi="Times New Roman" w:cs="Times New Roman"/>
          <w:sz w:val="24"/>
          <w:szCs w:val="24"/>
          <w:lang w:val="en-US"/>
        </w:rPr>
        <w:t>2</w:t>
      </w:r>
      <w:r w:rsidRPr="007B39CD">
        <w:rPr>
          <w:rStyle w:val="Hyperlink"/>
          <w:rFonts w:ascii="Times New Roman" w:hAnsi="Times New Roman" w:cs="Times New Roman"/>
          <w:sz w:val="24"/>
          <w:szCs w:val="24"/>
        </w:rPr>
        <w:t>0.pdf</w:t>
      </w:r>
    </w:hyperlink>
    <w:r>
      <w:rPr>
        <w:rFonts w:ascii="Times New Roman" w:hAnsi="Times New Roman" w:cs="Times New Roman"/>
        <w:sz w:val="24"/>
        <w:szCs w:val="24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7B575" w14:textId="77777777" w:rsidR="00D1346F" w:rsidRDefault="00D1346F" w:rsidP="00050D4C">
      <w:pPr>
        <w:spacing w:after="0" w:line="240" w:lineRule="auto"/>
      </w:pPr>
      <w:r>
        <w:separator/>
      </w:r>
    </w:p>
  </w:footnote>
  <w:footnote w:type="continuationSeparator" w:id="0">
    <w:p w14:paraId="7055AED7" w14:textId="77777777" w:rsidR="00D1346F" w:rsidRDefault="00D1346F" w:rsidP="00050D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5187424"/>
      <w:docPartObj>
        <w:docPartGallery w:val="Page Numbers (Top of Page)"/>
        <w:docPartUnique/>
      </w:docPartObj>
    </w:sdtPr>
    <w:sdtContent>
      <w:p w14:paraId="3FBBCCC7" w14:textId="33DEA9E0" w:rsidR="00B23B53" w:rsidRDefault="00B23B53" w:rsidP="007B39CD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6D64600D" w14:textId="77777777" w:rsidR="00B23B53" w:rsidRDefault="00B23B53" w:rsidP="00B23B53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="Times New Roman" w:hAnsi="Times New Roman" w:cs="Times New Roman"/>
        <w:sz w:val="28"/>
        <w:szCs w:val="28"/>
      </w:rPr>
      <w:id w:val="-1815633102"/>
      <w:docPartObj>
        <w:docPartGallery w:val="Page Numbers (Top of Page)"/>
        <w:docPartUnique/>
      </w:docPartObj>
    </w:sdtPr>
    <w:sdtContent>
      <w:p w14:paraId="72ED60B3" w14:textId="28246153" w:rsidR="00B23B53" w:rsidRPr="00B23B53" w:rsidRDefault="00B23B53" w:rsidP="007B39CD">
        <w:pPr>
          <w:pStyle w:val="Header"/>
          <w:framePr w:wrap="none" w:vAnchor="text" w:hAnchor="margin" w:xAlign="right" w:y="1"/>
          <w:rPr>
            <w:rStyle w:val="PageNumber"/>
            <w:rFonts w:ascii="Times New Roman" w:hAnsi="Times New Roman" w:cs="Times New Roman"/>
            <w:sz w:val="28"/>
            <w:szCs w:val="28"/>
          </w:rPr>
        </w:pPr>
        <w:r w:rsidRPr="00B23B53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begin"/>
        </w:r>
        <w:r w:rsidRPr="00B23B53">
          <w:rPr>
            <w:rStyle w:val="PageNumber"/>
            <w:rFonts w:ascii="Times New Roman" w:hAnsi="Times New Roman" w:cs="Times New Roman"/>
            <w:sz w:val="28"/>
            <w:szCs w:val="28"/>
          </w:rPr>
          <w:instrText xml:space="preserve"> PAGE </w:instrText>
        </w:r>
        <w:r w:rsidRPr="00B23B53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separate"/>
        </w:r>
        <w:r w:rsidRPr="00B23B53">
          <w:rPr>
            <w:rStyle w:val="PageNumber"/>
            <w:rFonts w:ascii="Times New Roman" w:hAnsi="Times New Roman" w:cs="Times New Roman"/>
            <w:noProof/>
            <w:sz w:val="28"/>
            <w:szCs w:val="28"/>
          </w:rPr>
          <w:t>2</w:t>
        </w:r>
        <w:r w:rsidRPr="00B23B53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sdt>
    <w:sdtPr>
      <w:id w:val="329268307"/>
      <w:docPartObj>
        <w:docPartGallery w:val="Page Numbers (Top of Page)"/>
        <w:docPartUnique/>
      </w:docPartObj>
    </w:sdtPr>
    <w:sdtEndPr/>
    <w:sdtContent>
      <w:p w14:paraId="06314416" w14:textId="2FC977EE" w:rsidR="00050D4C" w:rsidRDefault="00B23B53" w:rsidP="00B23B53">
        <w:pPr>
          <w:pStyle w:val="Header"/>
          <w:ind w:right="360"/>
        </w:pPr>
        <w:r w:rsidRPr="00CE00F9">
          <w:rPr>
            <w:rFonts w:ascii="Times New Roman" w:hAnsi="Times New Roman" w:cs="Times New Roman"/>
            <w:sz w:val="24"/>
            <w:szCs w:val="24"/>
          </w:rPr>
          <w:t>Научный журнал КубГАУ, №190(06), 2023 год</w:t>
        </w:r>
      </w:p>
    </w:sdtContent>
  </w:sdt>
  <w:p w14:paraId="2B0DBB56" w14:textId="77777777" w:rsidR="00050D4C" w:rsidRDefault="00050D4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removePersonalInformation/>
  <w:hideGrammaticalErrors/>
  <w:defaultTabStop w:val="708"/>
  <w:drawingGridHorizontalSpacing w:val="1000"/>
  <w:drawingGridVerticalSpacing w:val="100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584C"/>
    <w:rsid w:val="0000461F"/>
    <w:rsid w:val="00050D4C"/>
    <w:rsid w:val="001357D9"/>
    <w:rsid w:val="002C584C"/>
    <w:rsid w:val="00335076"/>
    <w:rsid w:val="006C3FB8"/>
    <w:rsid w:val="007744E9"/>
    <w:rsid w:val="00884F46"/>
    <w:rsid w:val="00906CC6"/>
    <w:rsid w:val="0093232F"/>
    <w:rsid w:val="00940F31"/>
    <w:rsid w:val="00945DC3"/>
    <w:rsid w:val="00A250E0"/>
    <w:rsid w:val="00A876D8"/>
    <w:rsid w:val="00B23B53"/>
    <w:rsid w:val="00CA72D8"/>
    <w:rsid w:val="00D1346F"/>
    <w:rsid w:val="00D67EB9"/>
    <w:rsid w:val="00DA0BC0"/>
    <w:rsid w:val="00E62B85"/>
    <w:rsid w:val="00F46BA8"/>
    <w:rsid w:val="00F578DF"/>
    <w:rsid w:val="00F85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ru-RU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CB171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styleId="NormalWeb">
    <w:name w:val="Normal (Web)"/>
    <w:basedOn w:val="Normal"/>
    <w:semiHidden/>
    <w:unhideWhenUsed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TableGrid">
    <w:name w:val="Table Grid"/>
    <w:basedOn w:val="TableNormal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A72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72D8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93232F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050D4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0D4C"/>
  </w:style>
  <w:style w:type="paragraph" w:styleId="Footer">
    <w:name w:val="footer"/>
    <w:basedOn w:val="Normal"/>
    <w:link w:val="FooterChar"/>
    <w:uiPriority w:val="99"/>
    <w:unhideWhenUsed/>
    <w:rsid w:val="00050D4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0D4C"/>
  </w:style>
  <w:style w:type="character" w:styleId="Hyperlink">
    <w:name w:val="Hyperlink"/>
    <w:basedOn w:val="DefaultParagraphFont"/>
    <w:uiPriority w:val="99"/>
    <w:unhideWhenUsed/>
    <w:rsid w:val="00F578D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578DF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B23B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6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x.doi.org/10.21515/1990-4665-190-020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3/06/pdf/2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2088</Words>
  <Characters>11907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13968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2023-06-02T08:02:00Z</dcterms:created>
  <dcterms:modified xsi:type="dcterms:W3CDTF">2023-06-19T17:16:00Z</dcterms:modified>
  <cp:version>0900.0100.01</cp:version>
</cp:coreProperties>
</file>