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A0" w:firstRow="1" w:lastRow="0" w:firstColumn="1" w:lastColumn="0" w:noHBand="0" w:noVBand="0"/>
      </w:tblPr>
      <w:tblGrid>
        <w:gridCol w:w="4643"/>
        <w:gridCol w:w="4643"/>
      </w:tblGrid>
      <w:tr w:rsidR="0051336B" w:rsidRPr="00EF7FF3" w:rsidTr="00EF7FF3">
        <w:tc>
          <w:tcPr>
            <w:tcW w:w="2500" w:type="pct"/>
          </w:tcPr>
          <w:p w:rsidR="0051336B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F7FF3">
              <w:rPr>
                <w:rFonts w:ascii="Times New Roman" w:hAnsi="Times New Roman"/>
                <w:sz w:val="20"/>
                <w:szCs w:val="20"/>
              </w:rPr>
              <w:t>УДК</w:t>
            </w:r>
            <w:r w:rsidRPr="00EF7FF3">
              <w:rPr>
                <w:sz w:val="20"/>
                <w:szCs w:val="20"/>
              </w:rPr>
              <w:t xml:space="preserve"> </w:t>
            </w:r>
            <w:r w:rsidRPr="00EF7FF3">
              <w:rPr>
                <w:rFonts w:ascii="Times New Roman" w:hAnsi="Times New Roman"/>
                <w:sz w:val="20"/>
                <w:szCs w:val="20"/>
              </w:rPr>
              <w:t>631.5.003</w:t>
            </w:r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7FF3">
              <w:rPr>
                <w:rFonts w:ascii="Times New Roman" w:hAnsi="Times New Roman"/>
                <w:sz w:val="20"/>
                <w:szCs w:val="20"/>
              </w:rPr>
              <w:t>UDC 631.5.003</w:t>
            </w:r>
          </w:p>
        </w:tc>
      </w:tr>
      <w:tr w:rsidR="0051336B" w:rsidRPr="006155A2" w:rsidTr="00EF7FF3">
        <w:tc>
          <w:tcPr>
            <w:tcW w:w="2500" w:type="pct"/>
          </w:tcPr>
          <w:p w:rsidR="0051336B" w:rsidRPr="00EF7FF3" w:rsidRDefault="001310D4" w:rsidP="005C36E0">
            <w:pPr>
              <w:spacing w:after="0" w:line="240" w:lineRule="auto"/>
              <w:rPr>
                <w:rStyle w:val="ad"/>
                <w:rFonts w:ascii="Times New Roman" w:hAnsi="Times New Roman"/>
                <w:color w:val="000000"/>
                <w:sz w:val="20"/>
                <w:szCs w:val="20"/>
                <w:u w:val="none"/>
              </w:rPr>
            </w:pPr>
            <w:hyperlink r:id="rId7" w:history="1">
              <w:r w:rsidR="0051336B" w:rsidRPr="00EF7FF3">
                <w:rPr>
                  <w:rStyle w:val="ad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06.02.10 – Частная зоотехния, технология производства продуктов животноводства (сельскохозяйственные науки)</w:t>
              </w:r>
            </w:hyperlink>
          </w:p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F7F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06.02.10 Private zootechny, technology of production of animal products 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(agricultural sciences)</w:t>
            </w:r>
          </w:p>
        </w:tc>
      </w:tr>
      <w:tr w:rsidR="0051336B" w:rsidRPr="006155A2" w:rsidTr="00EF7FF3"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F7FF3"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  <w:t>Мясные качества утят выращенных на рационах с различной концентраЦией бентоглин</w:t>
            </w:r>
          </w:p>
        </w:tc>
        <w:tc>
          <w:tcPr>
            <w:tcW w:w="2500" w:type="pct"/>
          </w:tcPr>
          <w:p w:rsidR="0051336B" w:rsidRPr="00260D1D" w:rsidRDefault="0051336B" w:rsidP="005C36E0">
            <w:pPr>
              <w:spacing w:after="0" w:line="240" w:lineRule="auto"/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60D1D"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MEAT QUALITY OF DUCKS GROWN ON DIETS WITH DIFFERENT CONCENTRATIONS </w:t>
            </w:r>
            <w:r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  <w:t>OF BENTO-CLAY</w:t>
            </w:r>
          </w:p>
        </w:tc>
      </w:tr>
      <w:tr w:rsidR="0051336B" w:rsidRPr="006155A2" w:rsidTr="00EF7FF3"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F3">
              <w:rPr>
                <w:rFonts w:ascii="Times New Roman" w:hAnsi="Times New Roman"/>
                <w:sz w:val="20"/>
                <w:szCs w:val="20"/>
              </w:rPr>
              <w:t>Билая Кристина Анатольевна</w:t>
            </w:r>
          </w:p>
          <w:p w:rsidR="0051336B" w:rsidRPr="006155A2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F3">
              <w:rPr>
                <w:rFonts w:ascii="Times New Roman" w:hAnsi="Times New Roman"/>
                <w:sz w:val="20"/>
                <w:szCs w:val="20"/>
              </w:rPr>
              <w:t xml:space="preserve">аспирантка </w:t>
            </w:r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C36E0">
              <w:rPr>
                <w:rFonts w:ascii="Times New Roman" w:hAnsi="Times New Roman"/>
                <w:i/>
                <w:sz w:val="20"/>
                <w:szCs w:val="20"/>
              </w:rPr>
              <w:t>ФГБОУ ВО «Донской государ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ственный аграрный университет»,</w:t>
            </w:r>
            <w:r w:rsidRPr="005C36E0">
              <w:rPr>
                <w:rFonts w:ascii="Times New Roman" w:hAnsi="Times New Roman"/>
                <w:i/>
                <w:sz w:val="20"/>
                <w:szCs w:val="20"/>
              </w:rPr>
              <w:t xml:space="preserve"> п. Персиановский, Россия</w:t>
            </w:r>
          </w:p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51336B" w:rsidRPr="005C36E0" w:rsidRDefault="0051336B" w:rsidP="005C36E0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:rsidR="0051336B" w:rsidRPr="006155A2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Bilaya</w:t>
            </w:r>
            <w:r w:rsidRPr="006155A2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Kristina</w:t>
            </w:r>
            <w:r w:rsidRPr="006155A2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Anatolevna</w:t>
            </w:r>
            <w:r w:rsidRPr="006155A2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graduate</w:t>
            </w:r>
            <w:r w:rsidRPr="006155A2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:rsidR="0051336B" w:rsidRPr="006155A2" w:rsidRDefault="0051336B" w:rsidP="005C36E0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Don</w:t>
            </w:r>
            <w:r w:rsidRPr="006155A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state</w:t>
            </w:r>
            <w:r w:rsidRPr="006155A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agrarian</w:t>
            </w:r>
            <w:r w:rsidRPr="006155A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University</w:t>
            </w:r>
            <w:r w:rsidRPr="006155A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6155A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. </w:t>
            </w:r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Persianovsky</w:t>
            </w:r>
            <w:r w:rsidRPr="006155A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Rostov</w:t>
            </w:r>
            <w:r w:rsidRPr="006155A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region</w:t>
            </w:r>
            <w:r w:rsidRPr="006155A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Russia</w:t>
            </w:r>
          </w:p>
        </w:tc>
      </w:tr>
      <w:tr w:rsidR="0051336B" w:rsidRPr="006155A2" w:rsidTr="00EF7FF3"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F3">
              <w:rPr>
                <w:rFonts w:ascii="Times New Roman" w:hAnsi="Times New Roman"/>
                <w:sz w:val="20"/>
                <w:szCs w:val="20"/>
              </w:rPr>
              <w:t>Пахомов Александр Петрович</w:t>
            </w:r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F3">
              <w:rPr>
                <w:rFonts w:ascii="Times New Roman" w:hAnsi="Times New Roman"/>
                <w:sz w:val="20"/>
                <w:szCs w:val="20"/>
              </w:rPr>
              <w:t xml:space="preserve">доктор сельскохозяйственных наук, профессор </w:t>
            </w:r>
          </w:p>
          <w:p w:rsidR="0051336B" w:rsidRPr="006155A2" w:rsidRDefault="0051336B" w:rsidP="005C36E0">
            <w:pPr>
              <w:spacing w:after="0" w:line="240" w:lineRule="auto"/>
            </w:pPr>
            <w:r w:rsidRPr="00EF7FF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C36E0">
              <w:rPr>
                <w:rFonts w:ascii="Times New Roman" w:hAnsi="Times New Roman"/>
                <w:sz w:val="20"/>
                <w:szCs w:val="20"/>
              </w:rPr>
              <w:t>-</w:t>
            </w:r>
            <w:r w:rsidRPr="00EF7FF3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C36E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8" w:history="1">
              <w:r w:rsidRPr="00EF7FF3">
                <w:rPr>
                  <w:rStyle w:val="ad"/>
                  <w:rFonts w:ascii="Times New Roman" w:hAnsi="Times New Roman"/>
                  <w:sz w:val="20"/>
                  <w:szCs w:val="20"/>
                  <w:lang w:val="en-US"/>
                </w:rPr>
                <w:t>tivano</w:t>
              </w:r>
              <w:r w:rsidRPr="005C36E0">
                <w:rPr>
                  <w:rStyle w:val="ad"/>
                  <w:rFonts w:ascii="Times New Roman" w:hAnsi="Times New Roman"/>
                  <w:sz w:val="20"/>
                  <w:szCs w:val="20"/>
                </w:rPr>
                <w:t>@</w:t>
              </w:r>
              <w:r w:rsidRPr="00EF7FF3">
                <w:rPr>
                  <w:rStyle w:val="ad"/>
                  <w:rFonts w:ascii="Times New Roman" w:hAnsi="Times New Roman"/>
                  <w:sz w:val="20"/>
                  <w:szCs w:val="20"/>
                  <w:lang w:val="en-US"/>
                </w:rPr>
                <w:t>yandex</w:t>
              </w:r>
              <w:r w:rsidRPr="005C36E0">
                <w:rPr>
                  <w:rStyle w:val="ad"/>
                  <w:rFonts w:ascii="Times New Roman" w:hAnsi="Times New Roman"/>
                  <w:sz w:val="20"/>
                  <w:szCs w:val="20"/>
                </w:rPr>
                <w:t>.</w:t>
              </w:r>
              <w:r w:rsidRPr="00EF7FF3">
                <w:rPr>
                  <w:rStyle w:val="ad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36E0">
              <w:rPr>
                <w:rFonts w:ascii="Times New Roman" w:hAnsi="Times New Roman"/>
                <w:i/>
                <w:sz w:val="20"/>
                <w:szCs w:val="20"/>
              </w:rPr>
              <w:t>ФГБОУ ВО «Донской государственный аграрный университет», п. Персиановский, Россия</w:t>
            </w:r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</w:pP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Pakhomov Alexander Petrovich</w:t>
            </w:r>
            <w:r w:rsidRPr="00EF7FF3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Doctor of Agricultural Sciences, Professor </w:t>
            </w:r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Don state agrarian University, p. Persianovsky, Rostov region, Russia</w:t>
            </w:r>
          </w:p>
        </w:tc>
      </w:tr>
      <w:tr w:rsidR="0051336B" w:rsidRPr="006155A2" w:rsidTr="00EF7FF3"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7FF3">
              <w:rPr>
                <w:rFonts w:ascii="Times New Roman" w:hAnsi="Times New Roman"/>
                <w:color w:val="000000"/>
                <w:sz w:val="20"/>
                <w:szCs w:val="20"/>
              </w:rPr>
              <w:t>Гак Юрий Михайлович</w:t>
            </w:r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F7FF3">
              <w:rPr>
                <w:rFonts w:ascii="Times New Roman" w:hAnsi="Times New Roman"/>
                <w:sz w:val="20"/>
                <w:szCs w:val="20"/>
              </w:rPr>
              <w:t xml:space="preserve">кандидат сельскохозяйственных наук, доцент </w:t>
            </w:r>
            <w:r w:rsidRPr="005C36E0">
              <w:rPr>
                <w:rFonts w:ascii="Times New Roman" w:hAnsi="Times New Roman"/>
                <w:i/>
                <w:sz w:val="20"/>
                <w:szCs w:val="20"/>
              </w:rPr>
              <w:t>ФГБОУ ВО «Донской государственный аграрный университ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ет», п. Персиановский, Росси</w:t>
            </w:r>
            <w:r w:rsidRPr="005C36E0">
              <w:rPr>
                <w:rFonts w:ascii="Times New Roman" w:hAnsi="Times New Roman"/>
                <w:i/>
                <w:sz w:val="20"/>
                <w:szCs w:val="20"/>
              </w:rPr>
              <w:t>я</w:t>
            </w:r>
          </w:p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</w:pP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Gak Yuri Mikhailovich</w:t>
            </w:r>
            <w:r w:rsidRPr="00EF7FF3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Candidate of 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Agricultural Sciences, docent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Don state agrarian University, p. Persianovsky, Rostov region, </w:t>
            </w:r>
            <w:smartTag w:uri="urn:schemas-microsoft-com:office:smarttags" w:element="place">
              <w:smartTag w:uri="urn:schemas-microsoft-com:office:smarttags" w:element="country-region">
                <w:r w:rsidRPr="005C36E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</w:tr>
      <w:tr w:rsidR="0051336B" w:rsidRPr="006155A2" w:rsidTr="00EF7FF3"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7FF3">
              <w:rPr>
                <w:rFonts w:ascii="Times New Roman" w:hAnsi="Times New Roman"/>
                <w:color w:val="000000"/>
                <w:sz w:val="20"/>
                <w:szCs w:val="20"/>
              </w:rPr>
              <w:t>Лесовая Наталья Алексеевна</w:t>
            </w:r>
          </w:p>
          <w:p w:rsidR="0051336B" w:rsidRPr="006155A2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F3">
              <w:rPr>
                <w:rFonts w:ascii="Times New Roman" w:hAnsi="Times New Roman"/>
                <w:sz w:val="20"/>
                <w:szCs w:val="20"/>
              </w:rPr>
              <w:t xml:space="preserve">аспирантка </w:t>
            </w:r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C36E0">
              <w:rPr>
                <w:rFonts w:ascii="Times New Roman" w:hAnsi="Times New Roman"/>
                <w:i/>
                <w:sz w:val="20"/>
                <w:szCs w:val="20"/>
              </w:rPr>
              <w:t>ФГБОУ ВО «Донской государственный технический университет»,</w:t>
            </w:r>
            <w:r w:rsidRPr="005C36E0">
              <w:rPr>
                <w:rFonts w:ascii="Times New Roman" w:hAnsi="Times New Roman"/>
                <w:i/>
                <w:sz w:val="20"/>
                <w:szCs w:val="20"/>
              </w:rPr>
              <w:br/>
              <w:t xml:space="preserve"> г. Рос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тов-на-Дону, Росси</w:t>
            </w:r>
            <w:r w:rsidRPr="005C36E0">
              <w:rPr>
                <w:rFonts w:ascii="Times New Roman" w:hAnsi="Times New Roman"/>
                <w:i/>
                <w:sz w:val="20"/>
                <w:szCs w:val="20"/>
              </w:rPr>
              <w:t>я</w:t>
            </w:r>
          </w:p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</w:pP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Lesovaya Natalya Alekseevna</w:t>
            </w:r>
            <w:r w:rsidRPr="00EF7FF3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graduate student </w:t>
            </w:r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5C36E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Don</w:t>
              </w:r>
            </w:smartTag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5C36E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5C36E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Technical</w:t>
              </w:r>
            </w:smartTag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C36E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5C36E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Rostov-on-Don</w:t>
                </w:r>
              </w:smartTag>
              <w:r w:rsidRPr="005C36E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C36E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1336B" w:rsidRPr="006155A2" w:rsidTr="00EF7FF3"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7FF3">
              <w:rPr>
                <w:rFonts w:ascii="Times New Roman" w:hAnsi="Times New Roman"/>
                <w:color w:val="000000"/>
                <w:sz w:val="20"/>
                <w:szCs w:val="20"/>
              </w:rPr>
              <w:t>Зеленкова Галина Александровна</w:t>
            </w:r>
          </w:p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F3">
              <w:rPr>
                <w:rFonts w:ascii="Times New Roman" w:hAnsi="Times New Roman"/>
                <w:sz w:val="20"/>
                <w:szCs w:val="20"/>
              </w:rPr>
              <w:t xml:space="preserve">доктор сельскохозяйственных наук, профессор кафедры «Биология и общая патология» </w:t>
            </w:r>
          </w:p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F7FF3">
              <w:rPr>
                <w:rFonts w:ascii="Times New Roman" w:hAnsi="Times New Roman"/>
                <w:color w:val="000000"/>
                <w:sz w:val="20"/>
                <w:szCs w:val="20"/>
              </w:rPr>
              <w:t>РИНЦ</w:t>
            </w:r>
            <w:r w:rsidRPr="00EF7FF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SPIN-</w:t>
            </w:r>
            <w:r w:rsidRPr="00EF7FF3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  <w:r w:rsidRPr="00EF7FF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hyperlink r:id="rId9" w:tooltip="Персональная карточка автора" w:history="1">
              <w:r w:rsidRPr="00EF7FF3">
                <w:rPr>
                  <w:rStyle w:val="ad"/>
                  <w:rFonts w:ascii="Times New Roman" w:hAnsi="Times New Roman"/>
                  <w:color w:val="000000"/>
                  <w:sz w:val="20"/>
                  <w:szCs w:val="20"/>
                  <w:u w:val="none"/>
                  <w:lang w:val="en-US"/>
                </w:rPr>
                <w:t>8751-9999</w:t>
              </w:r>
            </w:hyperlink>
          </w:p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F7F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</w:t>
            </w:r>
            <w:hyperlink r:id="rId10" w:history="1">
              <w:r w:rsidRPr="00EF7FF3">
                <w:rPr>
                  <w:rStyle w:val="ad"/>
                  <w:rFonts w:ascii="Times New Roman" w:hAnsi="Times New Roman"/>
                  <w:sz w:val="20"/>
                  <w:szCs w:val="20"/>
                  <w:lang w:val="en-US"/>
                </w:rPr>
                <w:t>zelenkovalex@rambler.ru</w:t>
              </w:r>
            </w:hyperlink>
          </w:p>
          <w:p w:rsidR="0051336B" w:rsidRPr="006155A2" w:rsidRDefault="0051336B" w:rsidP="005C36E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C36E0">
              <w:rPr>
                <w:rFonts w:ascii="Times New Roman" w:hAnsi="Times New Roman"/>
                <w:i/>
                <w:sz w:val="20"/>
                <w:szCs w:val="20"/>
              </w:rPr>
              <w:t>ФГБОУ ВО «Донской государственный технический университет», г. Ростов-на-Дону, Российская Федерация</w:t>
            </w:r>
          </w:p>
          <w:p w:rsidR="0051336B" w:rsidRPr="006155A2" w:rsidRDefault="0051336B" w:rsidP="005C36E0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51336B" w:rsidRDefault="0051336B" w:rsidP="005C36E0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</w:pP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Zelenkova Galina Aleksandrovna</w:t>
            </w:r>
            <w:r w:rsidRPr="00EF7FF3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Doctor of Agricultural Sciences, Professor </w:t>
            </w:r>
          </w:p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RSCI </w:t>
            </w:r>
            <w:r w:rsidRPr="00EF7FF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SPIN-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code</w:t>
            </w:r>
            <w:r w:rsidRPr="00EF7FF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hyperlink r:id="rId11" w:tooltip="Персональная карточка автора" w:history="1">
              <w:r w:rsidRPr="00EF7FF3">
                <w:rPr>
                  <w:rStyle w:val="ad"/>
                  <w:rFonts w:ascii="Times New Roman" w:hAnsi="Times New Roman"/>
                  <w:color w:val="000000"/>
                  <w:sz w:val="20"/>
                  <w:szCs w:val="20"/>
                  <w:u w:val="none"/>
                  <w:lang w:val="en-US"/>
                </w:rPr>
                <w:t>8751-9999</w:t>
              </w:r>
            </w:hyperlink>
          </w:p>
          <w:p w:rsidR="0051336B" w:rsidRPr="00EF7FF3" w:rsidRDefault="0051336B" w:rsidP="005C36E0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</w:pPr>
            <w:r w:rsidRPr="00EF7FF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</w:t>
            </w:r>
            <w:hyperlink r:id="rId12" w:history="1">
              <w:r w:rsidRPr="00EF7FF3">
                <w:rPr>
                  <w:rStyle w:val="ad"/>
                  <w:rFonts w:ascii="Times New Roman" w:hAnsi="Times New Roman"/>
                  <w:sz w:val="20"/>
                  <w:szCs w:val="20"/>
                  <w:lang w:val="en-US"/>
                </w:rPr>
                <w:t>zelenkovalex@rambler.ru</w:t>
              </w:r>
            </w:hyperlink>
          </w:p>
          <w:p w:rsidR="0051336B" w:rsidRPr="005C36E0" w:rsidRDefault="0051336B" w:rsidP="005C36E0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5C36E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Don</w:t>
              </w:r>
            </w:smartTag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5C36E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5C36E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Technical</w:t>
              </w:r>
            </w:smartTag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C36E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5C36E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5C36E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Rostov-on-Don</w:t>
                </w:r>
              </w:smartTag>
              <w:r w:rsidRPr="005C36E0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C36E0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1336B" w:rsidRPr="006155A2" w:rsidTr="00EF7FF3">
        <w:tc>
          <w:tcPr>
            <w:tcW w:w="2500" w:type="pct"/>
          </w:tcPr>
          <w:p w:rsidR="0051336B" w:rsidRPr="00EF7FF3" w:rsidRDefault="0051336B" w:rsidP="005C36E0">
            <w:pPr>
              <w:pStyle w:val="20"/>
              <w:widowControl w:val="0"/>
              <w:shd w:val="clear" w:color="auto" w:fill="auto"/>
              <w:spacing w:before="0" w:line="240" w:lineRule="auto"/>
              <w:rPr>
                <w:b w:val="0"/>
                <w:sz w:val="20"/>
                <w:szCs w:val="20"/>
              </w:rPr>
            </w:pPr>
            <w:bookmarkStart w:id="0" w:name="_GoBack"/>
            <w:r w:rsidRPr="00EF7FF3">
              <w:rPr>
                <w:b w:val="0"/>
                <w:sz w:val="20"/>
                <w:szCs w:val="20"/>
              </w:rPr>
              <w:t>Получение максимальной продуктивности и снижение себестоимости продукции является главными задачами, стоящими перед производителями животноводческого сырья в современных условиях. Для достижения эффективности отрасли птицеводства был проведена научно-исследовательская работа в утководческом хозяйстве Ростовской области</w:t>
            </w:r>
            <w:r w:rsidRPr="005C36E0">
              <w:rPr>
                <w:b w:val="0"/>
                <w:sz w:val="20"/>
                <w:szCs w:val="20"/>
              </w:rPr>
              <w:t>,</w:t>
            </w:r>
            <w:r w:rsidRPr="00EF7FF3">
              <w:rPr>
                <w:b w:val="0"/>
                <w:sz w:val="20"/>
                <w:szCs w:val="20"/>
              </w:rPr>
              <w:t xml:space="preserve"> цель которой </w:t>
            </w:r>
            <w:r>
              <w:rPr>
                <w:rStyle w:val="tlid-translation"/>
                <w:b w:val="0"/>
                <w:sz w:val="20"/>
                <w:szCs w:val="20"/>
              </w:rPr>
              <w:t>было</w:t>
            </w:r>
            <w:r w:rsidRPr="00EF7FF3">
              <w:rPr>
                <w:rStyle w:val="tlid-translation"/>
                <w:b w:val="0"/>
                <w:sz w:val="20"/>
                <w:szCs w:val="20"/>
              </w:rPr>
              <w:t xml:space="preserve"> изучение эффективности использования кормовой добавки – бентоглина в рационе утят, выращиваемых на мясо. В научно-исследовательской работе изучалось влияние на рост и развитие утят использование в рационах кормления различных доз кормового бентонита. Опытные данные исследования показали, что введение бентоглины в рацион утят в качестве кормовой добавки позволило увеличить живую массу, среднесуточный прирост, сохранность утят</w:t>
            </w:r>
            <w:r w:rsidRPr="00EF7FF3">
              <w:rPr>
                <w:b w:val="0"/>
                <w:sz w:val="20"/>
                <w:szCs w:val="20"/>
              </w:rPr>
              <w:t xml:space="preserve">, </w:t>
            </w:r>
            <w:r w:rsidRPr="00EF7FF3">
              <w:rPr>
                <w:b w:val="0"/>
                <w:sz w:val="20"/>
                <w:szCs w:val="20"/>
              </w:rPr>
              <w:lastRenderedPageBreak/>
              <w:t>массу полупотрашённой и потрошённой тушек, выход съедобных частей, мясные качества по сравнению с контрольной группой. Таким образом, бентоглина повлиял</w:t>
            </w:r>
            <w:r>
              <w:rPr>
                <w:b w:val="0"/>
                <w:sz w:val="20"/>
                <w:szCs w:val="20"/>
              </w:rPr>
              <w:t>а</w:t>
            </w:r>
            <w:r w:rsidRPr="00EF7FF3">
              <w:rPr>
                <w:b w:val="0"/>
                <w:sz w:val="20"/>
                <w:szCs w:val="20"/>
              </w:rPr>
              <w:t xml:space="preserve"> на повышение влагоудерживающей способности мяса утят, что способствовало улучшению его технологических свойств. Так в трех недельном возрасте живая масса утят была больше на 11,5%-18,2% по сравнению с утятами контрольной группы, а в семи недельном возрасте эта разница составила соответственно 8,4-12%, а среднесуточный прирост на 7,2-14,1% </w:t>
            </w:r>
            <w:r>
              <w:rPr>
                <w:b w:val="0"/>
                <w:sz w:val="20"/>
                <w:szCs w:val="20"/>
              </w:rPr>
              <w:t>при высокой сохранности</w:t>
            </w:r>
            <w:bookmarkEnd w:id="0"/>
          </w:p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Obtaining maximum productivity and reducing production costs are the main challenges facing livestock producers in modern conditions. To achieve the effectiveness of the poultry industry, 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we carried out a 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research in the utilities sector of the Rostov Region, the purpose of which was to study the effectiveness of the use of a feed additive 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–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 bento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-clay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 in the diet of ducklings grown for meat. In 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 research, 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we study 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the influence of various doses of 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feed on the diet and growth of ducklings. Experimental research data showed that the introduction of bento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-clay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 into the diet of ducklings as a feed additive allowed to increase live weight, average daily gain, the safety of ducklings, the mass of half-gutted and gutted carcasses, the yield of edible parts, and meat quality compared to the control group. Thus, bento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-clay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 influenced the increase in the water-holding ability of ducklings meat, which contributed to the improvement of its technological 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properties. 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 xml:space="preserve">Therefore, 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at three weeks of age, the live weight of ducklings was 11.5% -18.2% more than ducklings of the control group, and at seven weeks of age this difference was 8.4-12%, respectively, and the average daily increase was 7.2 -14.1% with high safety</w:t>
            </w:r>
          </w:p>
        </w:tc>
      </w:tr>
      <w:tr w:rsidR="0051336B" w:rsidRPr="006155A2" w:rsidTr="00EF7FF3">
        <w:tc>
          <w:tcPr>
            <w:tcW w:w="2500" w:type="pct"/>
          </w:tcPr>
          <w:p w:rsidR="0051336B" w:rsidRDefault="0051336B" w:rsidP="005C36E0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</w:rPr>
              <w:lastRenderedPageBreak/>
              <w:t>Ключевые слова: КОРМЛЕНИЕ, БЕНТОГЛИНА, ПТИЦА, УТЯТ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</w:rPr>
              <w:t>А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</w:rPr>
              <w:t>, ПРОДУКТИВНОСТЬ, ЖИВАЯ МАССА, БИОЛОГИЧЕСКИ АКТИВНЫЕ ВЕЩЕСТВА</w:t>
            </w:r>
          </w:p>
          <w:p w:rsidR="0051336B" w:rsidRDefault="0051336B" w:rsidP="005C36E0">
            <w:pPr>
              <w:spacing w:after="0" w:line="240" w:lineRule="auto"/>
              <w:rPr>
                <w:rStyle w:val="tlid-translation"/>
                <w:rFonts w:ascii="Times New Roman" w:hAnsi="Times New Roman"/>
                <w:sz w:val="20"/>
                <w:szCs w:val="20"/>
              </w:rPr>
            </w:pPr>
          </w:p>
          <w:p w:rsidR="0051336B" w:rsidRPr="006155A2" w:rsidRDefault="006155A2" w:rsidP="006155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112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DOI: </w:t>
            </w:r>
            <w:hyperlink r:id="rId13" w:history="1">
              <w:r w:rsidRPr="00B54E74">
                <w:rPr>
                  <w:rStyle w:val="ad"/>
                  <w:rFonts w:ascii="Times New Roman" w:eastAsia="Times New Roman" w:hAnsi="Times New Roman"/>
                  <w:sz w:val="20"/>
                  <w:szCs w:val="20"/>
                  <w:lang w:val="en-US" w:eastAsia="ar-SA"/>
                </w:rPr>
                <w:t>http://dx.doi.org/10.21515/1990-4665-159-018</w:t>
              </w:r>
            </w:hyperlink>
            <w:r w:rsidRPr="006155A2">
              <w:rPr>
                <w:rFonts w:ascii="Times New Roman" w:eastAsia="Times New Roman" w:hAnsi="Times New Roman"/>
                <w:color w:val="800080"/>
                <w:sz w:val="20"/>
                <w:szCs w:val="20"/>
                <w:u w:val="single"/>
                <w:lang w:val="en-US" w:eastAsia="ar-SA"/>
              </w:rPr>
              <w:t xml:space="preserve">  </w:t>
            </w:r>
          </w:p>
        </w:tc>
        <w:tc>
          <w:tcPr>
            <w:tcW w:w="2500" w:type="pct"/>
          </w:tcPr>
          <w:p w:rsidR="0051336B" w:rsidRPr="00EF7FF3" w:rsidRDefault="0051336B" w:rsidP="005C36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Keywords: FEEDING, BENTO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-CLAY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, BIRD, D</w:t>
            </w:r>
            <w:r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UCKLINGS</w:t>
            </w:r>
            <w:r w:rsidRPr="00EF7FF3">
              <w:rPr>
                <w:rStyle w:val="tlid-translation"/>
                <w:rFonts w:ascii="Times New Roman" w:hAnsi="Times New Roman"/>
                <w:sz w:val="20"/>
                <w:szCs w:val="20"/>
                <w:lang w:val="en-US"/>
              </w:rPr>
              <w:t>, PRODUCTIVITY, LIVING MASS, BIOLOGICALLY ACTIVE SUBSTANCES</w:t>
            </w:r>
          </w:p>
        </w:tc>
      </w:tr>
    </w:tbl>
    <w:p w:rsidR="0051336B" w:rsidRDefault="0051336B" w:rsidP="00BC031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1336B" w:rsidRDefault="0051336B" w:rsidP="00BC03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828">
        <w:rPr>
          <w:rFonts w:ascii="Times New Roman" w:hAnsi="Times New Roman"/>
          <w:b/>
          <w:sz w:val="28"/>
          <w:szCs w:val="28"/>
        </w:rPr>
        <w:t>Введение.</w:t>
      </w:r>
      <w:r>
        <w:rPr>
          <w:rFonts w:ascii="Times New Roman" w:hAnsi="Times New Roman"/>
          <w:sz w:val="28"/>
          <w:szCs w:val="28"/>
        </w:rPr>
        <w:t xml:space="preserve"> Получение максимальной продуктивности и снижение себестоимости продукции является главными задачами, стоящими перед производителями животноводческого сырья в современных условиях </w:t>
      </w:r>
      <w:r w:rsidRPr="00334C25">
        <w:rPr>
          <w:rFonts w:ascii="Times New Roman" w:hAnsi="Times New Roman"/>
          <w:sz w:val="28"/>
          <w:szCs w:val="28"/>
        </w:rPr>
        <w:t>[5</w:t>
      </w:r>
      <w:r>
        <w:rPr>
          <w:rFonts w:ascii="Times New Roman" w:hAnsi="Times New Roman"/>
          <w:sz w:val="28"/>
          <w:szCs w:val="28"/>
        </w:rPr>
        <w:t>, 6</w:t>
      </w:r>
      <w:r w:rsidRPr="00334C2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Добиться этих результатов и полностью реализовать генетический потенциал современных пород и кроссов птицы можно путем создания определенных внутренних условий и перестройки отдельных систем организма </w:t>
      </w:r>
      <w:r w:rsidRPr="00334C25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34C25">
        <w:rPr>
          <w:rFonts w:ascii="Times New Roman" w:hAnsi="Times New Roman"/>
          <w:sz w:val="28"/>
          <w:szCs w:val="28"/>
        </w:rPr>
        <w:t>4]</w:t>
      </w:r>
      <w:r>
        <w:rPr>
          <w:rFonts w:ascii="Times New Roman" w:hAnsi="Times New Roman"/>
          <w:sz w:val="28"/>
          <w:szCs w:val="28"/>
        </w:rPr>
        <w:t xml:space="preserve">. Одним из способов вызывающим изменения в живом организме в нужном и полезном направлении является изменение новых видов кормовых средств, биологически активных веществ корма </w:t>
      </w:r>
      <w:r w:rsidRPr="00334C25">
        <w:rPr>
          <w:rFonts w:ascii="Times New Roman" w:hAnsi="Times New Roman"/>
          <w:sz w:val="28"/>
          <w:szCs w:val="28"/>
        </w:rPr>
        <w:t>[2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34C25">
        <w:rPr>
          <w:rFonts w:ascii="Times New Roman" w:hAnsi="Times New Roman"/>
          <w:sz w:val="28"/>
          <w:szCs w:val="28"/>
        </w:rPr>
        <w:t>3]</w:t>
      </w:r>
      <w:r>
        <w:rPr>
          <w:rFonts w:ascii="Times New Roman" w:hAnsi="Times New Roman"/>
          <w:sz w:val="28"/>
          <w:szCs w:val="28"/>
        </w:rPr>
        <w:t>.</w:t>
      </w:r>
    </w:p>
    <w:p w:rsidR="0051336B" w:rsidRDefault="0051336B" w:rsidP="00BC03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производства мяса птицы возможно благодаря совершенствованию рецептур полнорационных комбикормов, введение в рационы не традиционных минеральных источников. Важную роль в организации рационального питания сельскохозяйственной птицы играют минеральные вещества. Ни указывают влияние на энергетический, азотистый, углеводный и липидный обмен. Является структурным материалом органов и тканей; повышает естественно резистентность организма.</w:t>
      </w:r>
    </w:p>
    <w:p w:rsidR="0051336B" w:rsidRDefault="0051336B" w:rsidP="00BC03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828">
        <w:rPr>
          <w:rFonts w:ascii="Times New Roman" w:hAnsi="Times New Roman"/>
          <w:b/>
          <w:sz w:val="28"/>
          <w:szCs w:val="28"/>
        </w:rPr>
        <w:t>Цель исследования.</w:t>
      </w:r>
      <w:r>
        <w:rPr>
          <w:rFonts w:ascii="Times New Roman" w:hAnsi="Times New Roman"/>
          <w:sz w:val="28"/>
          <w:szCs w:val="28"/>
        </w:rPr>
        <w:t xml:space="preserve"> В ходе исследований было изучено мясные качества утят, выращенных на рационах с различной концентрацией </w:t>
      </w:r>
      <w:r>
        <w:rPr>
          <w:rFonts w:ascii="Times New Roman" w:hAnsi="Times New Roman"/>
          <w:sz w:val="28"/>
          <w:szCs w:val="28"/>
        </w:rPr>
        <w:lastRenderedPageBreak/>
        <w:t>бентоглин. Целью исследований являлось изучение эффективности использования кормовой добавки – бентоглина в рационе утят, выращиваемых на мясо. В ходе исследований было изучено мясные качества утят, выращенных на рационах с различной концентрацией бентоглин.</w:t>
      </w:r>
    </w:p>
    <w:p w:rsidR="0051336B" w:rsidRPr="00E91643" w:rsidRDefault="0051336B" w:rsidP="00BC031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1643">
        <w:rPr>
          <w:rFonts w:ascii="Times New Roman" w:hAnsi="Times New Roman"/>
          <w:b/>
          <w:sz w:val="28"/>
          <w:szCs w:val="28"/>
        </w:rPr>
        <w:t>Материалы и методы исследования</w:t>
      </w:r>
    </w:p>
    <w:p w:rsidR="0051336B" w:rsidRDefault="0051336B" w:rsidP="00BC03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резервов минеральных веществ являются добавки минерального происхождения в частности бентонина, которые содержат более 20 макро- и микроэлементов. Большие запасы бентонитовых глин на территории Ростовской области дают возможность всесторонне изучить и использовать их в питании птицы. Согласно техническим условиям (ТУ 9283-199-10514645-13) кормовой бентонит, вырабатываем Тарасовским рудоупровлением Ростовской области предназначен в качестве добавки в комбикорма минеральной подкормкой сельскохозяйственным животным для улучшения переваримости кормов повышения использования питательных веществ в качестве энтеросорбента. Бентонитовая глина (экобентокорм) обладает бактерицидными свойствами и способствует повышению сохранности поголовья, и увеличению убойного выходы и качества мяса сельскохозяйственных животных и птицы. Бентонитовая глина (экобентокорм) представляет сбой типичную глину, относящуюся терригенноосадочным формам. Выпускается в виде порошка или крупки. Увеличение производства мяса птицы и удовлетворение ее в потребности в кормах актуально на государственном уровне. В связи с этим целью научных исследований явилось изучение использования в рационах утят бентонитовой глины Тарасовского месторождения, на их мясные качества. 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" w:name="_Hlk24311455"/>
      <w:r>
        <w:rPr>
          <w:rFonts w:ascii="Times New Roman" w:hAnsi="Times New Roman"/>
          <w:sz w:val="28"/>
          <w:szCs w:val="28"/>
        </w:rPr>
        <w:t xml:space="preserve">Экспериментальные исследования проводились в условиях птицефабрики «Юбилейная» Кагальницкого района Ростовской области, </w:t>
      </w:r>
      <w:r>
        <w:rPr>
          <w:rFonts w:ascii="Times New Roman" w:hAnsi="Times New Roman"/>
          <w:sz w:val="28"/>
          <w:szCs w:val="28"/>
        </w:rPr>
        <w:lastRenderedPageBreak/>
        <w:t xml:space="preserve">на утятах пекинской породы. Для этих целей были укомплектованы 5 групп утят (контрольная и I, II, III и IV опытные) по 50 голов в каждой. 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Группы утят формировали в суточном возрасте, по принципу аналогов, содержание утята – напольное в одинаковых условиях, с соблюдением общепринятых зооветеринарных требований. Опыт проводился в течение 7 недель. Кормление утят осуществлялся комбикормами, питательность которых по периодам выращивания была следующая: 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возрасте 1-3 недель в 100 грамм комбикорма содержалось обменной энергии 271,0 ккал, сырого протеина 15,3%, кальция 1,12%, фосфора 0,68%;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возрасте 4-7 недель 100 грамм комбикорма содержалось обменной энергии 294,0 ккал, сырого протеина 14,3%, кальция 1,123%, фосфора 0,71%.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Утята контрольной группы получали только комбикорма, в котором в качестве минеральной добавки использовали мел. Утятам I,</w:t>
      </w:r>
      <w:r w:rsidRPr="00B437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II III и IV опытной группы вводили в комбикорма бентоглину соответственно 0,5; 1,0; 1,5 и 2,0 процента от массы рациона. </w:t>
      </w:r>
      <w:bookmarkEnd w:id="1"/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опыта по каждой группе определяли живую массу утят, путем еженедельного взвешивания, сохранность поголовья – ежедневным осмотром. Определяли абсолютный прирост, относительный прирост, и рассчитывали среднесуточный прирост утят. При оценке мясных качеств птицы, учитывали следующие показатели: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живую массу перед убоем (предубойная масса), которую определяли после 12-16 часов пребывания птицы без корма и 4 часа без воды;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массу полупотрошённой тушки – масса тушки без крови, пера, у которой удалили кишечник с клоакой, зоб;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массу потрошённой тушки -масса тушки без крови, пера, головы, зоба крыльев до локтевого сустава, у которой удаляли все внутренние органы кроме легких и почек;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съедобная часть – мышцы грудные, ног и туловища, печени без желчного пузыря, сердца, мышечный желудок без содержимого и кутикулы, почки, легкие, кожа.</w:t>
      </w:r>
    </w:p>
    <w:p w:rsidR="0051336B" w:rsidRPr="00AB184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AB184B">
        <w:rPr>
          <w:rFonts w:ascii="Times New Roman" w:hAnsi="Times New Roman"/>
          <w:b/>
          <w:bCs/>
          <w:sz w:val="28"/>
          <w:szCs w:val="28"/>
        </w:rPr>
        <w:t>Результаты исследования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показали исследования, вводимые кормовые добавки в комбикорм, оказали существенное влияние на изменения метаболических процессов, что в свою очередь повлияло на скорость роста мышечной и костной ткани. 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живой массы утят (табл. 1), свидетельствует о том, что использование кормовых добавок способствовали их росту на всем протяжении выращивании. Так в трех недельном возрасте, живая масса утят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опытной на 7</w:t>
      </w:r>
      <w:r w:rsidRPr="0037796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,</w:t>
      </w:r>
      <w:r w:rsidRPr="00377966"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hAnsi="Times New Roman"/>
          <w:sz w:val="28"/>
          <w:szCs w:val="28"/>
        </w:rPr>
        <w:t xml:space="preserve">г,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опытной на 81,7 г,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опытной на 101,</w:t>
      </w:r>
      <w:r w:rsidRPr="00377966"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hAnsi="Times New Roman"/>
          <w:sz w:val="28"/>
          <w:szCs w:val="28"/>
        </w:rPr>
        <w:t xml:space="preserve">г и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опытной на 96,</w:t>
      </w:r>
      <w:r w:rsidRPr="0037796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 больше по сравнению с молодняком контрольной группы. </w:t>
      </w:r>
    </w:p>
    <w:p w:rsidR="0051336B" w:rsidRDefault="0051336B" w:rsidP="00BC0310">
      <w:pPr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51336B" w:rsidRDefault="0051336B" w:rsidP="00BC0310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живой массы утят бройлеров, г (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=50)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1"/>
        <w:gridCol w:w="3038"/>
        <w:gridCol w:w="3037"/>
      </w:tblGrid>
      <w:tr w:rsidR="0051336B" w:rsidRPr="00EF7FF3" w:rsidTr="00EF7FF3">
        <w:trPr>
          <w:trHeight w:val="20"/>
        </w:trPr>
        <w:tc>
          <w:tcPr>
            <w:tcW w:w="1729" w:type="pct"/>
            <w:vMerge w:val="restart"/>
            <w:vAlign w:val="center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  <w:tc>
          <w:tcPr>
            <w:tcW w:w="3271" w:type="pct"/>
            <w:gridSpan w:val="2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Возраст, недель</w:t>
            </w:r>
          </w:p>
        </w:tc>
      </w:tr>
      <w:tr w:rsidR="0051336B" w:rsidRPr="00EF7FF3" w:rsidTr="00EF7FF3">
        <w:trPr>
          <w:trHeight w:val="20"/>
        </w:trPr>
        <w:tc>
          <w:tcPr>
            <w:tcW w:w="1729" w:type="pct"/>
            <w:vMerge/>
            <w:vAlign w:val="center"/>
          </w:tcPr>
          <w:p w:rsidR="0051336B" w:rsidRPr="00EF7FF3" w:rsidRDefault="0051336B" w:rsidP="00EF7FF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6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35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1336B" w:rsidRPr="00EF7FF3" w:rsidTr="00EF7FF3">
        <w:trPr>
          <w:trHeight w:val="20"/>
        </w:trPr>
        <w:tc>
          <w:tcPr>
            <w:tcW w:w="1729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контрольная</w:t>
            </w:r>
          </w:p>
        </w:tc>
        <w:tc>
          <w:tcPr>
            <w:tcW w:w="1636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524,4 ±6,5</w:t>
            </w:r>
          </w:p>
        </w:tc>
        <w:tc>
          <w:tcPr>
            <w:tcW w:w="1635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2303,4±16,8</w:t>
            </w:r>
          </w:p>
        </w:tc>
      </w:tr>
      <w:tr w:rsidR="0051336B" w:rsidRPr="00EF7FF3" w:rsidTr="00EF7FF3">
        <w:trPr>
          <w:trHeight w:val="20"/>
        </w:trPr>
        <w:tc>
          <w:tcPr>
            <w:tcW w:w="1729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 </w:t>
            </w:r>
            <w:r w:rsidRPr="00EF7FF3">
              <w:rPr>
                <w:rFonts w:ascii="Times New Roman" w:hAnsi="Times New Roman"/>
                <w:sz w:val="28"/>
                <w:szCs w:val="28"/>
              </w:rPr>
              <w:t>опытная</w:t>
            </w:r>
          </w:p>
        </w:tc>
        <w:tc>
          <w:tcPr>
            <w:tcW w:w="1636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603,4±7,2</w:t>
            </w:r>
          </w:p>
        </w:tc>
        <w:tc>
          <w:tcPr>
            <w:tcW w:w="1635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2498,2±18,3</w:t>
            </w:r>
          </w:p>
        </w:tc>
      </w:tr>
      <w:tr w:rsidR="0051336B" w:rsidRPr="00EF7FF3" w:rsidTr="00EF7FF3">
        <w:trPr>
          <w:trHeight w:val="20"/>
        </w:trPr>
        <w:tc>
          <w:tcPr>
            <w:tcW w:w="1729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7FF3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EF7FF3">
              <w:rPr>
                <w:rFonts w:ascii="Times New Roman" w:hAnsi="Times New Roman"/>
                <w:sz w:val="28"/>
                <w:szCs w:val="28"/>
              </w:rPr>
              <w:t xml:space="preserve"> опытная</w:t>
            </w:r>
          </w:p>
        </w:tc>
        <w:tc>
          <w:tcPr>
            <w:tcW w:w="1636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606,1±6,8</w:t>
            </w:r>
          </w:p>
        </w:tc>
        <w:tc>
          <w:tcPr>
            <w:tcW w:w="1635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2589,4±19,1</w:t>
            </w:r>
          </w:p>
        </w:tc>
      </w:tr>
      <w:tr w:rsidR="0051336B" w:rsidRPr="00EF7FF3" w:rsidTr="00EF7FF3">
        <w:trPr>
          <w:trHeight w:val="20"/>
        </w:trPr>
        <w:tc>
          <w:tcPr>
            <w:tcW w:w="1729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7FF3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EF7FF3">
              <w:rPr>
                <w:rFonts w:ascii="Times New Roman" w:hAnsi="Times New Roman"/>
                <w:sz w:val="28"/>
                <w:szCs w:val="28"/>
              </w:rPr>
              <w:t xml:space="preserve"> опытная</w:t>
            </w:r>
          </w:p>
        </w:tc>
        <w:tc>
          <w:tcPr>
            <w:tcW w:w="1636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625,4±6,8</w:t>
            </w:r>
          </w:p>
        </w:tc>
        <w:tc>
          <w:tcPr>
            <w:tcW w:w="1635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2600,1±19,7*</w:t>
            </w:r>
          </w:p>
        </w:tc>
      </w:tr>
      <w:tr w:rsidR="0051336B" w:rsidRPr="00EF7FF3" w:rsidTr="00EF7FF3">
        <w:trPr>
          <w:trHeight w:val="20"/>
        </w:trPr>
        <w:tc>
          <w:tcPr>
            <w:tcW w:w="1729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EF7FF3">
              <w:rPr>
                <w:rFonts w:ascii="Times New Roman" w:hAnsi="Times New Roman"/>
                <w:sz w:val="28"/>
                <w:szCs w:val="28"/>
              </w:rPr>
              <w:t xml:space="preserve"> опытная</w:t>
            </w:r>
          </w:p>
        </w:tc>
        <w:tc>
          <w:tcPr>
            <w:tcW w:w="1636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Style w:val="71pt"/>
                <w:sz w:val="28"/>
                <w:szCs w:val="28"/>
              </w:rPr>
              <w:t>620,4±71,0</w:t>
            </w:r>
          </w:p>
        </w:tc>
        <w:tc>
          <w:tcPr>
            <w:tcW w:w="1635" w:type="pct"/>
          </w:tcPr>
          <w:p w:rsidR="0051336B" w:rsidRPr="00EF7FF3" w:rsidRDefault="0051336B" w:rsidP="00EF7FF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7FF3">
              <w:rPr>
                <w:rFonts w:ascii="Times New Roman" w:hAnsi="Times New Roman"/>
                <w:sz w:val="28"/>
                <w:szCs w:val="28"/>
              </w:rPr>
              <w:t>2618,4±17,7*</w:t>
            </w:r>
          </w:p>
        </w:tc>
      </w:tr>
    </w:tbl>
    <w:p w:rsidR="0051336B" w:rsidRDefault="0051336B" w:rsidP="00BC0310">
      <w:pPr>
        <w:widowControl w:val="0"/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– Р&lt;0,001 по сравнению с контролем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семи недельном возрасте эта разница соответственно составила 194,8; 286,0; 296,7 и 315,0 г.</w:t>
      </w:r>
    </w:p>
    <w:p w:rsidR="0051336B" w:rsidRDefault="0051336B" w:rsidP="00BC031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Изучаемые показатели в данных группах (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144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группа) в конце периода выращивания превосходил контроль на 296,7 (Р&lt;0,001) и 315,0 г (Р&lt;0,001) и составил соответственно 2600,1 и 2618,4 г.</w:t>
      </w:r>
    </w:p>
    <w:p w:rsidR="0051336B" w:rsidRDefault="0051336B" w:rsidP="00BC0310">
      <w:pPr>
        <w:spacing w:after="0" w:line="360" w:lineRule="auto"/>
        <w:ind w:firstLine="851"/>
        <w:jc w:val="both"/>
        <w:rPr>
          <w:rStyle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показателям среднесуточного прироста живой массы утята опытных групп превосходили контроль за семь недель выращивания на 7,2 - 14,1% при этом наиболее высокая интенсивность роста наблюдалась у утят в III и IV опытных групп. Сохранность утят по всем группам была высокая.</w:t>
      </w:r>
    </w:p>
    <w:p w:rsidR="0051336B" w:rsidRDefault="0051336B" w:rsidP="00BC0310">
      <w:pPr>
        <w:pStyle w:val="5"/>
        <w:widowControl w:val="0"/>
        <w:shd w:val="clear" w:color="auto" w:fill="auto"/>
        <w:spacing w:after="0" w:line="360" w:lineRule="auto"/>
        <w:ind w:firstLine="709"/>
        <w:jc w:val="both"/>
      </w:pPr>
      <w:r>
        <w:rPr>
          <w:rStyle w:val="1"/>
          <w:sz w:val="28"/>
          <w:szCs w:val="28"/>
        </w:rPr>
        <w:t xml:space="preserve">Данные абсолютного и относительного прироста позволяют предположить, что концентрация </w:t>
      </w:r>
      <w:r>
        <w:rPr>
          <w:sz w:val="28"/>
          <w:szCs w:val="28"/>
        </w:rPr>
        <w:t xml:space="preserve">кормовой добавки, вводимой в рацион III и IV опытных групп, </w:t>
      </w:r>
      <w:r>
        <w:rPr>
          <w:rStyle w:val="1"/>
          <w:sz w:val="28"/>
          <w:szCs w:val="28"/>
        </w:rPr>
        <w:t xml:space="preserve">положительно влияют на интенсивность роста утят. Так, введение в рацион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IV</w:t>
      </w:r>
      <w:r>
        <w:rPr>
          <w:rStyle w:val="1"/>
          <w:sz w:val="28"/>
          <w:szCs w:val="28"/>
        </w:rPr>
        <w:t xml:space="preserve"> опытных групп испытуемой концентрации кормовой добавки позволило увеличить абсолютный прирост за период выращивания на 13,4-14,6%, по сравнению с контрольной группой.</w:t>
      </w:r>
    </w:p>
    <w:p w:rsidR="0051336B" w:rsidRPr="007E50AF" w:rsidRDefault="0051336B" w:rsidP="00BC0310">
      <w:pPr>
        <w:pStyle w:val="5"/>
        <w:widowControl w:val="0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 xml:space="preserve">Для изучения интерьерных показателей выращиваемых утят провели контрольный убой и </w:t>
      </w:r>
      <w:r w:rsidRPr="007E50AF">
        <w:rPr>
          <w:rStyle w:val="1"/>
          <w:sz w:val="28"/>
          <w:szCs w:val="28"/>
        </w:rPr>
        <w:t>анатомическ</w:t>
      </w:r>
      <w:r>
        <w:rPr>
          <w:rStyle w:val="1"/>
          <w:sz w:val="28"/>
          <w:szCs w:val="28"/>
        </w:rPr>
        <w:t>ую</w:t>
      </w:r>
      <w:r w:rsidRPr="007E50AF">
        <w:rPr>
          <w:rStyle w:val="1"/>
          <w:sz w:val="28"/>
          <w:szCs w:val="28"/>
        </w:rPr>
        <w:t xml:space="preserve"> разделк</w:t>
      </w:r>
      <w:r>
        <w:rPr>
          <w:rStyle w:val="1"/>
          <w:sz w:val="28"/>
          <w:szCs w:val="28"/>
        </w:rPr>
        <w:t>у</w:t>
      </w:r>
      <w:r w:rsidRPr="007E50AF">
        <w:rPr>
          <w:rStyle w:val="1"/>
          <w:sz w:val="28"/>
          <w:szCs w:val="28"/>
        </w:rPr>
        <w:t xml:space="preserve"> тушек</w:t>
      </w:r>
      <w:r>
        <w:rPr>
          <w:rStyle w:val="1"/>
          <w:sz w:val="28"/>
          <w:szCs w:val="28"/>
        </w:rPr>
        <w:t xml:space="preserve">. Данные </w:t>
      </w:r>
      <w:r w:rsidRPr="007E50AF">
        <w:rPr>
          <w:rStyle w:val="1"/>
          <w:sz w:val="28"/>
          <w:szCs w:val="28"/>
        </w:rPr>
        <w:t xml:space="preserve">свидетельствуют о том, что развитие внутренних органов и тканей утят подопытных групп непосредственно зависело от уровня </w:t>
      </w:r>
      <w:r>
        <w:rPr>
          <w:rStyle w:val="1"/>
          <w:sz w:val="28"/>
          <w:szCs w:val="28"/>
        </w:rPr>
        <w:t>концентрации бентоглины в рационах.</w:t>
      </w:r>
    </w:p>
    <w:p w:rsidR="0051336B" w:rsidRPr="007E50AF" w:rsidRDefault="0051336B" w:rsidP="00BC0310">
      <w:pPr>
        <w:pStyle w:val="5"/>
        <w:widowControl w:val="0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>Так у у</w:t>
      </w:r>
      <w:r w:rsidRPr="007E50AF">
        <w:rPr>
          <w:rStyle w:val="1"/>
          <w:sz w:val="28"/>
          <w:szCs w:val="28"/>
        </w:rPr>
        <w:t xml:space="preserve">тят </w:t>
      </w:r>
      <w:r>
        <w:rPr>
          <w:rStyle w:val="1"/>
          <w:sz w:val="28"/>
          <w:szCs w:val="28"/>
          <w:lang w:val="en-US"/>
        </w:rPr>
        <w:t>II</w:t>
      </w:r>
      <w:r w:rsidRPr="009D356B">
        <w:rPr>
          <w:rStyle w:val="1"/>
          <w:sz w:val="28"/>
          <w:szCs w:val="28"/>
        </w:rPr>
        <w:t>-</w:t>
      </w:r>
      <w:r>
        <w:rPr>
          <w:rStyle w:val="1"/>
          <w:sz w:val="28"/>
          <w:szCs w:val="28"/>
          <w:lang w:val="en-US"/>
        </w:rPr>
        <w:t>IV</w:t>
      </w:r>
      <w:r w:rsidRPr="007E50AF">
        <w:rPr>
          <w:rStyle w:val="1"/>
          <w:sz w:val="28"/>
          <w:szCs w:val="28"/>
        </w:rPr>
        <w:t xml:space="preserve"> опытных групп было отмечено увеличение массы потрошенных тушек на </w:t>
      </w:r>
      <w:r>
        <w:rPr>
          <w:rStyle w:val="1"/>
          <w:sz w:val="28"/>
          <w:szCs w:val="28"/>
        </w:rPr>
        <w:t>8,1</w:t>
      </w:r>
      <w:r w:rsidRPr="007E50AF">
        <w:rPr>
          <w:rStyle w:val="1"/>
          <w:sz w:val="28"/>
          <w:szCs w:val="28"/>
        </w:rPr>
        <w:t>-</w:t>
      </w:r>
      <w:r>
        <w:rPr>
          <w:rStyle w:val="1"/>
          <w:sz w:val="28"/>
          <w:szCs w:val="28"/>
        </w:rPr>
        <w:t>18</w:t>
      </w:r>
      <w:r w:rsidRPr="007E50AF">
        <w:rPr>
          <w:rStyle w:val="1"/>
          <w:sz w:val="28"/>
          <w:szCs w:val="28"/>
        </w:rPr>
        <w:t>,</w:t>
      </w:r>
      <w:r>
        <w:rPr>
          <w:rStyle w:val="1"/>
          <w:sz w:val="28"/>
          <w:szCs w:val="28"/>
        </w:rPr>
        <w:t>3</w:t>
      </w:r>
      <w:r w:rsidRPr="007E50AF">
        <w:rPr>
          <w:rStyle w:val="1"/>
          <w:sz w:val="28"/>
          <w:szCs w:val="28"/>
        </w:rPr>
        <w:t xml:space="preserve">%, по сравнению с контрольной группой. Следует отметить, что наибольшую массу полупотрошенных тушек имели утята </w:t>
      </w:r>
      <w:r>
        <w:rPr>
          <w:rStyle w:val="1"/>
          <w:sz w:val="28"/>
          <w:szCs w:val="28"/>
          <w:lang w:val="en-US"/>
        </w:rPr>
        <w:t>III</w:t>
      </w:r>
      <w:r w:rsidRPr="007E50AF">
        <w:rPr>
          <w:rStyle w:val="1"/>
          <w:sz w:val="28"/>
          <w:szCs w:val="28"/>
        </w:rPr>
        <w:t xml:space="preserve"> и </w:t>
      </w:r>
      <w:r>
        <w:rPr>
          <w:rStyle w:val="1"/>
          <w:sz w:val="28"/>
          <w:szCs w:val="28"/>
          <w:lang w:val="en-US"/>
        </w:rPr>
        <w:t>IV</w:t>
      </w:r>
      <w:r w:rsidRPr="007E50AF">
        <w:rPr>
          <w:rStyle w:val="1"/>
          <w:sz w:val="28"/>
          <w:szCs w:val="28"/>
        </w:rPr>
        <w:t xml:space="preserve"> опытных групп.</w:t>
      </w:r>
    </w:p>
    <w:p w:rsidR="0051336B" w:rsidRDefault="0051336B" w:rsidP="00BC0310">
      <w:pPr>
        <w:pStyle w:val="5"/>
        <w:widowControl w:val="0"/>
        <w:shd w:val="clear" w:color="auto" w:fill="auto"/>
        <w:spacing w:after="0" w:line="360" w:lineRule="auto"/>
        <w:ind w:firstLine="709"/>
        <w:jc w:val="both"/>
        <w:rPr>
          <w:rStyle w:val="1"/>
          <w:sz w:val="28"/>
          <w:szCs w:val="28"/>
        </w:rPr>
      </w:pPr>
      <w:r w:rsidRPr="007E50AF">
        <w:rPr>
          <w:rStyle w:val="1"/>
          <w:sz w:val="28"/>
          <w:szCs w:val="28"/>
        </w:rPr>
        <w:t xml:space="preserve">Однако более существенной характеристикой убойного выхода тушки </w:t>
      </w:r>
      <w:r>
        <w:rPr>
          <w:rStyle w:val="1"/>
          <w:sz w:val="28"/>
          <w:szCs w:val="28"/>
        </w:rPr>
        <w:t>явилось</w:t>
      </w:r>
      <w:r w:rsidRPr="007E50AF">
        <w:rPr>
          <w:rStyle w:val="1"/>
          <w:sz w:val="28"/>
          <w:szCs w:val="28"/>
        </w:rPr>
        <w:t xml:space="preserve"> ее отношение к предубойной массе. Этот показатель имеет положительную закономерность у утят </w:t>
      </w:r>
      <w:r>
        <w:rPr>
          <w:rStyle w:val="1"/>
          <w:sz w:val="28"/>
          <w:szCs w:val="28"/>
          <w:lang w:val="en-US"/>
        </w:rPr>
        <w:t>IV</w:t>
      </w:r>
      <w:r w:rsidRPr="007E50AF">
        <w:rPr>
          <w:rStyle w:val="1"/>
          <w:sz w:val="28"/>
          <w:szCs w:val="28"/>
        </w:rPr>
        <w:t xml:space="preserve"> группы, где отношение полупотрошенной и потрошенной тушек к предубойной массе оказалось наиболее высоким и соответствовало </w:t>
      </w:r>
      <w:r>
        <w:rPr>
          <w:rStyle w:val="1"/>
          <w:sz w:val="28"/>
          <w:szCs w:val="28"/>
        </w:rPr>
        <w:t>77</w:t>
      </w:r>
      <w:r w:rsidRPr="007E50AF">
        <w:rPr>
          <w:rStyle w:val="1"/>
          <w:sz w:val="28"/>
          <w:szCs w:val="28"/>
        </w:rPr>
        <w:t>,3 и 6</w:t>
      </w:r>
      <w:r>
        <w:rPr>
          <w:rStyle w:val="1"/>
          <w:sz w:val="28"/>
          <w:szCs w:val="28"/>
        </w:rPr>
        <w:t>2</w:t>
      </w:r>
      <w:r w:rsidRPr="007E50AF">
        <w:rPr>
          <w:rStyle w:val="1"/>
          <w:sz w:val="28"/>
          <w:szCs w:val="28"/>
        </w:rPr>
        <w:t>,</w:t>
      </w:r>
      <w:r>
        <w:rPr>
          <w:rStyle w:val="1"/>
          <w:sz w:val="28"/>
          <w:szCs w:val="28"/>
        </w:rPr>
        <w:t>3</w:t>
      </w:r>
      <w:r w:rsidRPr="007E50AF">
        <w:rPr>
          <w:rStyle w:val="1"/>
          <w:sz w:val="28"/>
          <w:szCs w:val="28"/>
        </w:rPr>
        <w:t>%, соответственно</w:t>
      </w:r>
      <w:r>
        <w:rPr>
          <w:rStyle w:val="1"/>
          <w:sz w:val="28"/>
          <w:szCs w:val="28"/>
        </w:rPr>
        <w:t xml:space="preserve"> (табл. </w:t>
      </w:r>
      <w:r>
        <w:rPr>
          <w:rStyle w:val="1"/>
          <w:sz w:val="28"/>
          <w:szCs w:val="28"/>
        </w:rPr>
        <w:lastRenderedPageBreak/>
        <w:t>2)</w:t>
      </w:r>
      <w:r w:rsidRPr="007E50AF">
        <w:rPr>
          <w:rStyle w:val="1"/>
          <w:sz w:val="28"/>
          <w:szCs w:val="28"/>
        </w:rPr>
        <w:t>.</w:t>
      </w:r>
    </w:p>
    <w:p w:rsidR="0051336B" w:rsidRPr="007E50AF" w:rsidRDefault="0051336B" w:rsidP="00A513AC">
      <w:pPr>
        <w:pStyle w:val="5"/>
        <w:widowControl w:val="0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 xml:space="preserve">Утята, выращенные на рационах, содержащие бентоглину в разных концентрациях, </w:t>
      </w:r>
      <w:r w:rsidRPr="007E50AF">
        <w:rPr>
          <w:rStyle w:val="1"/>
          <w:sz w:val="28"/>
          <w:szCs w:val="28"/>
        </w:rPr>
        <w:t xml:space="preserve">существенно повлияло на увеличение съедобных частей в тушке, при этом ее весовое значение в опытных группах увеличилось на </w:t>
      </w:r>
      <w:r>
        <w:rPr>
          <w:rStyle w:val="1"/>
          <w:sz w:val="28"/>
          <w:szCs w:val="28"/>
        </w:rPr>
        <w:t>6</w:t>
      </w:r>
      <w:r w:rsidRPr="007E50AF">
        <w:rPr>
          <w:rStyle w:val="1"/>
          <w:sz w:val="28"/>
          <w:szCs w:val="28"/>
        </w:rPr>
        <w:t>,8</w:t>
      </w:r>
      <w:r>
        <w:rPr>
          <w:rStyle w:val="1"/>
          <w:sz w:val="28"/>
          <w:szCs w:val="28"/>
        </w:rPr>
        <w:t> </w:t>
      </w:r>
      <w:r w:rsidRPr="007E50AF">
        <w:rPr>
          <w:rStyle w:val="1"/>
          <w:sz w:val="28"/>
          <w:szCs w:val="28"/>
        </w:rPr>
        <w:t>-</w:t>
      </w:r>
      <w:r>
        <w:rPr>
          <w:rStyle w:val="1"/>
          <w:sz w:val="28"/>
          <w:szCs w:val="28"/>
        </w:rPr>
        <w:t> </w:t>
      </w:r>
      <w:r w:rsidRPr="007E50AF">
        <w:rPr>
          <w:rStyle w:val="1"/>
          <w:sz w:val="28"/>
          <w:szCs w:val="28"/>
        </w:rPr>
        <w:t>2</w:t>
      </w:r>
      <w:r>
        <w:rPr>
          <w:rStyle w:val="1"/>
          <w:sz w:val="28"/>
          <w:szCs w:val="28"/>
        </w:rPr>
        <w:t>3</w:t>
      </w:r>
      <w:r w:rsidRPr="007E50AF">
        <w:rPr>
          <w:rStyle w:val="1"/>
          <w:sz w:val="28"/>
          <w:szCs w:val="28"/>
        </w:rPr>
        <w:t xml:space="preserve">,1% по сравнению с данным показателем в контроле. В процентном отношении к предубойной массе выход съедобных частей у молодняка </w:t>
      </w:r>
      <w:r>
        <w:rPr>
          <w:rStyle w:val="1"/>
          <w:sz w:val="28"/>
          <w:szCs w:val="28"/>
          <w:lang w:val="en-US"/>
        </w:rPr>
        <w:t>IV</w:t>
      </w:r>
      <w:r w:rsidRPr="007E50AF">
        <w:rPr>
          <w:rStyle w:val="1"/>
          <w:sz w:val="28"/>
          <w:szCs w:val="28"/>
        </w:rPr>
        <w:t xml:space="preserve"> опытной группы достигал наибольшего значения – 49,7%, что превзошло контроль на 5,3%. Наблюдалось также увеличение выхода съедобных частей в полупотрошенной тушке у молодняка опытных групп на 2,7-6,5% по сравнению с контролем.</w:t>
      </w:r>
    </w:p>
    <w:p w:rsidR="0051336B" w:rsidRDefault="0051336B" w:rsidP="00BC0310">
      <w:pPr>
        <w:widowControl w:val="0"/>
        <w:spacing w:after="0" w:line="360" w:lineRule="auto"/>
        <w:jc w:val="right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Таблица 2</w:t>
      </w:r>
    </w:p>
    <w:p w:rsidR="0051336B" w:rsidRPr="007E50AF" w:rsidRDefault="0051336B" w:rsidP="00BC0310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Мясная продуктивность утят бройлеров </w:t>
      </w:r>
      <w:r w:rsidRPr="007E50AF">
        <w:rPr>
          <w:rFonts w:ascii="Times New Roman" w:hAnsi="Times New Roman"/>
          <w:sz w:val="28"/>
          <w:szCs w:val="28"/>
        </w:rPr>
        <w:t>(</w:t>
      </w:r>
      <w:r w:rsidRPr="007E50AF">
        <w:rPr>
          <w:rFonts w:ascii="Times New Roman" w:hAnsi="Times New Roman"/>
          <w:sz w:val="28"/>
          <w:szCs w:val="28"/>
          <w:lang w:val="en-US"/>
        </w:rPr>
        <w:t>n</w:t>
      </w:r>
      <w:r w:rsidRPr="007E50AF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5</w:t>
      </w:r>
      <w:r w:rsidRPr="007E50AF">
        <w:rPr>
          <w:rFonts w:ascii="Times New Roman" w:hAnsi="Times New Roman"/>
          <w:sz w:val="28"/>
          <w:szCs w:val="28"/>
        </w:rPr>
        <w:t>)</w:t>
      </w:r>
    </w:p>
    <w:tbl>
      <w:tblPr>
        <w:tblW w:w="5000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57"/>
        <w:gridCol w:w="1402"/>
        <w:gridCol w:w="1193"/>
        <w:gridCol w:w="1193"/>
        <w:gridCol w:w="1278"/>
        <w:gridCol w:w="1367"/>
      </w:tblGrid>
      <w:tr w:rsidR="0051336B" w:rsidRPr="00EF7FF3" w:rsidTr="00201C21">
        <w:trPr>
          <w:trHeight w:val="20"/>
        </w:trPr>
        <w:tc>
          <w:tcPr>
            <w:tcW w:w="1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35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</w:tr>
      <w:tr w:rsidR="0051336B" w:rsidRPr="00EF7FF3" w:rsidTr="00201C21">
        <w:trPr>
          <w:trHeight w:val="20"/>
        </w:trPr>
        <w:tc>
          <w:tcPr>
            <w:tcW w:w="1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4"/>
                <w:szCs w:val="24"/>
              </w:rPr>
            </w:pPr>
            <w:r w:rsidRPr="00F80413">
              <w:rPr>
                <w:sz w:val="24"/>
                <w:szCs w:val="24"/>
              </w:rPr>
              <w:t>контрольная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4"/>
                <w:szCs w:val="24"/>
              </w:rPr>
            </w:pPr>
            <w:r w:rsidRPr="00F80413">
              <w:rPr>
                <w:sz w:val="24"/>
                <w:szCs w:val="24"/>
                <w:lang w:val="en-US"/>
              </w:rPr>
              <w:t xml:space="preserve">I </w:t>
            </w:r>
            <w:r w:rsidRPr="00F80413">
              <w:rPr>
                <w:sz w:val="24"/>
                <w:szCs w:val="24"/>
              </w:rPr>
              <w:t>опытная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4"/>
                <w:szCs w:val="24"/>
              </w:rPr>
            </w:pPr>
            <w:r w:rsidRPr="00F80413">
              <w:rPr>
                <w:sz w:val="24"/>
                <w:szCs w:val="24"/>
                <w:lang w:val="en-US"/>
              </w:rPr>
              <w:t>II</w:t>
            </w:r>
            <w:r w:rsidRPr="00F80413">
              <w:rPr>
                <w:sz w:val="24"/>
                <w:szCs w:val="24"/>
              </w:rPr>
              <w:t xml:space="preserve"> опытная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4"/>
                <w:szCs w:val="24"/>
              </w:rPr>
            </w:pPr>
            <w:r w:rsidRPr="00F80413">
              <w:rPr>
                <w:sz w:val="24"/>
                <w:szCs w:val="24"/>
                <w:lang w:val="en-US"/>
              </w:rPr>
              <w:t>III</w:t>
            </w:r>
            <w:r w:rsidRPr="00F80413">
              <w:rPr>
                <w:sz w:val="24"/>
                <w:szCs w:val="24"/>
              </w:rPr>
              <w:t xml:space="preserve"> опытная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4"/>
                <w:szCs w:val="24"/>
              </w:rPr>
            </w:pPr>
            <w:r w:rsidRPr="00F80413">
              <w:rPr>
                <w:sz w:val="24"/>
                <w:szCs w:val="24"/>
                <w:lang w:val="en-US"/>
              </w:rPr>
              <w:t>IV</w:t>
            </w:r>
            <w:r w:rsidRPr="00F80413">
              <w:rPr>
                <w:sz w:val="24"/>
                <w:szCs w:val="24"/>
              </w:rPr>
              <w:t xml:space="preserve"> опытная</w:t>
            </w:r>
            <w:r w:rsidRPr="00F80413">
              <w:rPr>
                <w:rStyle w:val="1"/>
                <w:sz w:val="24"/>
                <w:szCs w:val="24"/>
              </w:rPr>
              <w:t xml:space="preserve"> </w:t>
            </w:r>
          </w:p>
        </w:tc>
      </w:tr>
      <w:tr w:rsidR="0051336B" w:rsidRPr="00EF7FF3" w:rsidTr="00201C21">
        <w:trPr>
          <w:trHeight w:val="2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</w:t>
            </w:r>
            <w:r w:rsidRPr="00F80413">
              <w:rPr>
                <w:rFonts w:ascii="Times New Roman" w:hAnsi="Times New Roman"/>
                <w:sz w:val="24"/>
                <w:szCs w:val="24"/>
              </w:rPr>
              <w:t>убойная масса, кг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2,2±4,6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2,3±4,5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2,4±4,1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2,5±4,3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2,5±4,0*</w:t>
            </w:r>
          </w:p>
        </w:tc>
      </w:tr>
      <w:tr w:rsidR="0051336B" w:rsidRPr="00EF7FF3" w:rsidTr="00201C21">
        <w:trPr>
          <w:trHeight w:val="2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201C2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Масса полупотрошенной тушки: кг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1,7±3,7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1,9±3,3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2,1±3,2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2,0±3,4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2,14±3,6*</w:t>
            </w:r>
          </w:p>
        </w:tc>
      </w:tr>
      <w:tr w:rsidR="0051336B" w:rsidRPr="00EF7FF3" w:rsidTr="00201C21">
        <w:trPr>
          <w:trHeight w:val="2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201C2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Масса потрошенной тушки: г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1461,4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1559,9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1624,9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1689,7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1774,3</w:t>
            </w:r>
          </w:p>
        </w:tc>
      </w:tr>
      <w:tr w:rsidR="0051336B" w:rsidRPr="00EF7FF3" w:rsidTr="00201C21">
        <w:trPr>
          <w:trHeight w:val="20"/>
        </w:trPr>
        <w:tc>
          <w:tcPr>
            <w:tcW w:w="14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 xml:space="preserve">             к живой массе, %</w:t>
            </w:r>
          </w:p>
        </w:tc>
        <w:tc>
          <w:tcPr>
            <w:tcW w:w="7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6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67,6</w:t>
            </w:r>
          </w:p>
        </w:tc>
        <w:tc>
          <w:tcPr>
            <w:tcW w:w="6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7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</w:tr>
      <w:tr w:rsidR="0051336B" w:rsidRPr="00EF7FF3" w:rsidTr="00201C21">
        <w:trPr>
          <w:trHeight w:val="20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201C2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Выход съедобных частей тушки: кг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F8041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13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</w:tbl>
    <w:p w:rsidR="0051336B" w:rsidRPr="00B8697A" w:rsidRDefault="0051336B" w:rsidP="00BC0310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8697A">
        <w:rPr>
          <w:rFonts w:ascii="Times New Roman" w:hAnsi="Times New Roman"/>
          <w:sz w:val="24"/>
          <w:szCs w:val="24"/>
        </w:rPr>
        <w:t>** – Р&lt;0,01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8697A">
        <w:rPr>
          <w:rFonts w:ascii="Times New Roman" w:hAnsi="Times New Roman"/>
          <w:sz w:val="24"/>
          <w:szCs w:val="24"/>
        </w:rPr>
        <w:t xml:space="preserve"> по сравнению с контролем</w:t>
      </w:r>
    </w:p>
    <w:p w:rsidR="0051336B" w:rsidRPr="007E50AF" w:rsidRDefault="0051336B" w:rsidP="00BC0310">
      <w:pPr>
        <w:pStyle w:val="5"/>
        <w:widowControl w:val="0"/>
        <w:shd w:val="clear" w:color="auto" w:fill="auto"/>
        <w:spacing w:after="0" w:line="360" w:lineRule="auto"/>
        <w:ind w:firstLine="709"/>
        <w:jc w:val="both"/>
        <w:rPr>
          <w:sz w:val="28"/>
          <w:szCs w:val="28"/>
        </w:rPr>
      </w:pPr>
      <w:r w:rsidRPr="007E50AF">
        <w:rPr>
          <w:rStyle w:val="1"/>
          <w:sz w:val="28"/>
          <w:szCs w:val="28"/>
        </w:rPr>
        <w:t xml:space="preserve">Основной характеристикой мясных качеств </w:t>
      </w:r>
      <w:r>
        <w:rPr>
          <w:rStyle w:val="1"/>
          <w:sz w:val="28"/>
          <w:szCs w:val="28"/>
        </w:rPr>
        <w:t>утят</w:t>
      </w:r>
      <w:r w:rsidRPr="007E50AF">
        <w:rPr>
          <w:rStyle w:val="1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являлось и</w:t>
      </w:r>
      <w:r w:rsidRPr="007E50AF">
        <w:rPr>
          <w:rStyle w:val="1"/>
          <w:sz w:val="28"/>
          <w:szCs w:val="28"/>
        </w:rPr>
        <w:t xml:space="preserve"> соотношение </w:t>
      </w:r>
      <w:r w:rsidRPr="007E50AF">
        <w:rPr>
          <w:sz w:val="28"/>
          <w:szCs w:val="28"/>
        </w:rPr>
        <w:t xml:space="preserve">съедобных и несъедобных частей. Так, введение </w:t>
      </w:r>
      <w:r>
        <w:rPr>
          <w:sz w:val="28"/>
          <w:szCs w:val="28"/>
        </w:rPr>
        <w:t xml:space="preserve">в рацион утят бентоглина </w:t>
      </w:r>
      <w:r w:rsidRPr="007E50AF">
        <w:rPr>
          <w:sz w:val="28"/>
          <w:szCs w:val="28"/>
        </w:rPr>
        <w:t>позволило увеличить данный показатель на 8,5-23,5% по сравнению с контрольной группой.</w:t>
      </w:r>
    </w:p>
    <w:p w:rsidR="0051336B" w:rsidRDefault="0051336B" w:rsidP="00BC0310">
      <w:pPr>
        <w:pStyle w:val="20"/>
        <w:widowControl w:val="0"/>
        <w:shd w:val="clear" w:color="auto" w:fill="auto"/>
        <w:spacing w:before="0" w:line="360" w:lineRule="auto"/>
        <w:ind w:firstLine="709"/>
        <w:jc w:val="both"/>
        <w:rPr>
          <w:b w:val="0"/>
          <w:sz w:val="28"/>
          <w:szCs w:val="28"/>
        </w:rPr>
      </w:pPr>
      <w:r w:rsidRPr="007E50AF">
        <w:rPr>
          <w:b w:val="0"/>
          <w:sz w:val="28"/>
          <w:szCs w:val="28"/>
        </w:rPr>
        <w:t>Важным показателем, характеризующим обмускуленность отдельных частей тела, является отношение массы мышц к массе кости бедра и голени, который повысился от 3,92 в контроле до 4,41-5,13 в опытных группах.</w:t>
      </w:r>
    </w:p>
    <w:p w:rsidR="0051336B" w:rsidRPr="009E351B" w:rsidRDefault="0051336B" w:rsidP="009E351B">
      <w:pPr>
        <w:pStyle w:val="110"/>
        <w:widowControl w:val="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9E351B">
        <w:rPr>
          <w:rFonts w:ascii="Times New Roman" w:hAnsi="Times New Roman" w:cs="Times New Roman"/>
          <w:spacing w:val="0"/>
          <w:sz w:val="28"/>
          <w:szCs w:val="28"/>
        </w:rPr>
        <w:t xml:space="preserve">Мясо утят бройлеров имеет высокую калорийность и хорошие </w:t>
      </w:r>
      <w:r w:rsidRPr="009E351B">
        <w:rPr>
          <w:rFonts w:ascii="Times New Roman" w:hAnsi="Times New Roman" w:cs="Times New Roman"/>
          <w:spacing w:val="0"/>
          <w:sz w:val="28"/>
          <w:szCs w:val="28"/>
        </w:rPr>
        <w:lastRenderedPageBreak/>
        <w:t xml:space="preserve">вкусовые качества. Для характеристики мясных качеств утят был проведен анализ химического состава мышц бедра и голени, мышечные ткани по питательности и вкусовым достоинствам являются важным источником мяса и мясо продуктов. Химический состав бройлеров опытных групп отличался от </w:t>
      </w:r>
      <w:r>
        <w:rPr>
          <w:rFonts w:ascii="Times New Roman" w:hAnsi="Times New Roman" w:cs="Times New Roman"/>
          <w:spacing w:val="0"/>
          <w:sz w:val="28"/>
          <w:szCs w:val="28"/>
        </w:rPr>
        <w:t>химического состава утят опытных</w:t>
      </w:r>
      <w:r w:rsidRPr="009E351B">
        <w:rPr>
          <w:rFonts w:ascii="Times New Roman" w:hAnsi="Times New Roman" w:cs="Times New Roman"/>
          <w:spacing w:val="0"/>
          <w:sz w:val="28"/>
          <w:szCs w:val="28"/>
        </w:rPr>
        <w:t xml:space="preserve"> групп (табл. 3). </w:t>
      </w:r>
    </w:p>
    <w:p w:rsidR="0051336B" w:rsidRDefault="0051336B" w:rsidP="00BC0310">
      <w:pPr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3 </w:t>
      </w:r>
    </w:p>
    <w:p w:rsidR="0051336B" w:rsidRDefault="0051336B" w:rsidP="00BC0310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Химический состав мяса утят 49-дневного возраста, % (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=5)</w:t>
      </w:r>
    </w:p>
    <w:tbl>
      <w:tblPr>
        <w:tblW w:w="5000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694"/>
        <w:gridCol w:w="1520"/>
        <w:gridCol w:w="1434"/>
        <w:gridCol w:w="1434"/>
        <w:gridCol w:w="1434"/>
        <w:gridCol w:w="1574"/>
      </w:tblGrid>
      <w:tr w:rsidR="0051336B" w:rsidRPr="00EF7FF3" w:rsidTr="00201C21">
        <w:trPr>
          <w:trHeight w:val="20"/>
        </w:trPr>
        <w:tc>
          <w:tcPr>
            <w:tcW w:w="9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40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</w:tr>
      <w:tr w:rsidR="0051336B" w:rsidRPr="00EF7FF3" w:rsidTr="00201C21">
        <w:trPr>
          <w:trHeight w:val="20"/>
        </w:trPr>
        <w:tc>
          <w:tcPr>
            <w:tcW w:w="9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6B" w:rsidRPr="00EF7FF3" w:rsidRDefault="0051336B" w:rsidP="00F8041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sz w:val="28"/>
                <w:szCs w:val="28"/>
              </w:rPr>
              <w:t>опытная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опытная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опытная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>
              <w:rPr>
                <w:sz w:val="28"/>
                <w:szCs w:val="28"/>
              </w:rPr>
              <w:t xml:space="preserve"> опытная</w:t>
            </w:r>
            <w:r>
              <w:rPr>
                <w:rStyle w:val="1"/>
                <w:sz w:val="28"/>
                <w:szCs w:val="28"/>
              </w:rPr>
              <w:t xml:space="preserve"> </w:t>
            </w:r>
          </w:p>
        </w:tc>
      </w:tr>
      <w:tr w:rsidR="0051336B" w:rsidRPr="00EF7FF3" w:rsidTr="00201C21">
        <w:trPr>
          <w:trHeight w:val="20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Влага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74,24±0,54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72,284±0,52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72,84±0,12*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72,97±0,51*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72,05±0,52*</w:t>
            </w:r>
          </w:p>
        </w:tc>
      </w:tr>
      <w:tr w:rsidR="0051336B" w:rsidRPr="00EF7FF3" w:rsidTr="00201C21">
        <w:trPr>
          <w:trHeight w:val="20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201C2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Сухое вещество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25,76±0,32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27,16±0,3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27,03±0,28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27,10±0,29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27,95±0,31*</w:t>
            </w:r>
          </w:p>
        </w:tc>
      </w:tr>
      <w:tr w:rsidR="0051336B" w:rsidRPr="00EF7FF3" w:rsidTr="00201C21">
        <w:trPr>
          <w:trHeight w:val="20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201C2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Сырой протеин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20,78±0,18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22,05±0,06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21,19±0,22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21,19±0,04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22,72±0,14**</w:t>
            </w:r>
          </w:p>
        </w:tc>
      </w:tr>
      <w:tr w:rsidR="0051336B" w:rsidRPr="00EF7FF3" w:rsidTr="00201C21">
        <w:trPr>
          <w:trHeight w:val="20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Сырой жир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3,97±0,05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3,97±0,03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3,91±0,04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3,94±0,06*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3,95±0,03*</w:t>
            </w:r>
          </w:p>
        </w:tc>
      </w:tr>
    </w:tbl>
    <w:p w:rsidR="0051336B" w:rsidRDefault="0051336B" w:rsidP="00BC0310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– Р&lt;0,05,** – Р&lt;0,01 по сравнению с контролем</w:t>
      </w:r>
    </w:p>
    <w:p w:rsidR="0051336B" w:rsidRPr="00E26313" w:rsidRDefault="0051336B" w:rsidP="00F80413">
      <w:pPr>
        <w:pStyle w:val="110"/>
        <w:widowControl w:val="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Style w:val="110pt"/>
          <w:spacing w:val="0"/>
          <w:sz w:val="28"/>
          <w:szCs w:val="28"/>
        </w:rPr>
        <w:t xml:space="preserve">Данные анализов </w:t>
      </w:r>
      <w:r w:rsidRPr="00DA2996">
        <w:rPr>
          <w:rStyle w:val="110pt"/>
          <w:spacing w:val="0"/>
          <w:sz w:val="28"/>
          <w:szCs w:val="28"/>
        </w:rPr>
        <w:t xml:space="preserve">отражают изменение химического состава мышечной ткани утят в зависимости от </w:t>
      </w:r>
      <w:r>
        <w:rPr>
          <w:rStyle w:val="110pt"/>
          <w:spacing w:val="0"/>
          <w:sz w:val="28"/>
          <w:szCs w:val="28"/>
        </w:rPr>
        <w:t>концентрации (</w:t>
      </w:r>
      <w:r w:rsidRPr="00DA2996">
        <w:rPr>
          <w:rStyle w:val="110pt"/>
          <w:spacing w:val="0"/>
          <w:sz w:val="28"/>
          <w:szCs w:val="28"/>
        </w:rPr>
        <w:t>дозы</w:t>
      </w:r>
      <w:r>
        <w:rPr>
          <w:rStyle w:val="110pt"/>
          <w:spacing w:val="0"/>
          <w:sz w:val="28"/>
          <w:szCs w:val="28"/>
        </w:rPr>
        <w:t>)</w:t>
      </w:r>
      <w:r w:rsidRPr="00DA2996">
        <w:rPr>
          <w:rStyle w:val="110pt"/>
          <w:spacing w:val="0"/>
          <w:sz w:val="28"/>
          <w:szCs w:val="28"/>
        </w:rPr>
        <w:t xml:space="preserve"> вводимой бентоглиновой добавки. Так, содержание влаги в мясе утят бройлеров в I</w:t>
      </w:r>
      <w:r>
        <w:rPr>
          <w:rStyle w:val="110pt"/>
          <w:spacing w:val="0"/>
          <w:sz w:val="28"/>
          <w:szCs w:val="28"/>
        </w:rPr>
        <w:t> </w:t>
      </w:r>
      <w:r w:rsidRPr="00DA2996">
        <w:rPr>
          <w:rStyle w:val="110pt"/>
          <w:spacing w:val="0"/>
          <w:sz w:val="28"/>
          <w:szCs w:val="28"/>
        </w:rPr>
        <w:t>опытной группы на 1,4%, II опытной группы на 1,27%, III опытной группы на 1,4%, IV опытной группы 2,2% (Р&lt;0,05</w:t>
      </w:r>
      <w:r>
        <w:rPr>
          <w:rStyle w:val="110pt"/>
          <w:spacing w:val="0"/>
          <w:sz w:val="28"/>
          <w:szCs w:val="28"/>
        </w:rPr>
        <w:t xml:space="preserve">) </w:t>
      </w:r>
      <w:r w:rsidRPr="00DA2996">
        <w:rPr>
          <w:rStyle w:val="110pt"/>
          <w:spacing w:val="0"/>
          <w:sz w:val="28"/>
          <w:szCs w:val="28"/>
        </w:rPr>
        <w:t>ниже по сравнению с контрольным аналогами). Сырого протеина в мясе опытной птицы на 1,2</w:t>
      </w:r>
      <w:r>
        <w:rPr>
          <w:rStyle w:val="110pt"/>
          <w:spacing w:val="0"/>
          <w:sz w:val="28"/>
          <w:szCs w:val="28"/>
        </w:rPr>
        <w:t>-</w:t>
      </w:r>
      <w:r w:rsidRPr="00DA2996">
        <w:rPr>
          <w:rStyle w:val="110pt"/>
          <w:spacing w:val="0"/>
          <w:sz w:val="28"/>
          <w:szCs w:val="28"/>
        </w:rPr>
        <w:t>2,2%, сухого вещества на 1,4-2,2% (</w:t>
      </w:r>
      <w:r w:rsidRPr="00DA2996">
        <w:rPr>
          <w:rFonts w:ascii="Times New Roman" w:hAnsi="Times New Roman" w:cs="Times New Roman"/>
          <w:sz w:val="28"/>
          <w:szCs w:val="28"/>
        </w:rPr>
        <w:t>Р</w:t>
      </w:r>
      <w:r w:rsidRPr="00DA2996">
        <w:rPr>
          <w:rFonts w:ascii="Times New Roman" w:hAnsi="Times New Roman" w:cs="Times New Roman"/>
          <w:spacing w:val="0"/>
          <w:sz w:val="28"/>
          <w:szCs w:val="28"/>
        </w:rPr>
        <w:t>&lt;0,01</w:t>
      </w:r>
      <w:r>
        <w:rPr>
          <w:rFonts w:ascii="Times New Roman" w:hAnsi="Times New Roman" w:cs="Times New Roman"/>
          <w:spacing w:val="0"/>
          <w:sz w:val="28"/>
          <w:szCs w:val="28"/>
        </w:rPr>
        <w:t>)</w:t>
      </w:r>
      <w:r w:rsidRPr="00DA2996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DA2996">
        <w:rPr>
          <w:rStyle w:val="110pt"/>
          <w:spacing w:val="0"/>
          <w:sz w:val="28"/>
          <w:szCs w:val="28"/>
        </w:rPr>
        <w:t xml:space="preserve">соответственно выше </w:t>
      </w:r>
      <w:r w:rsidRPr="00DA2996">
        <w:rPr>
          <w:rFonts w:ascii="Times New Roman" w:hAnsi="Times New Roman" w:cs="Times New Roman"/>
          <w:spacing w:val="0"/>
          <w:sz w:val="28"/>
          <w:szCs w:val="28"/>
        </w:rPr>
        <w:t xml:space="preserve">по </w:t>
      </w:r>
      <w:r w:rsidRPr="00E26313">
        <w:rPr>
          <w:rFonts w:ascii="Times New Roman" w:hAnsi="Times New Roman" w:cs="Times New Roman"/>
          <w:spacing w:val="0"/>
          <w:sz w:val="28"/>
          <w:szCs w:val="28"/>
        </w:rPr>
        <w:t>сравнению с контролем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, </w:t>
      </w:r>
      <w:r w:rsidRPr="00E26313">
        <w:rPr>
          <w:rFonts w:ascii="Times New Roman" w:hAnsi="Times New Roman" w:cs="Times New Roman"/>
          <w:spacing w:val="0"/>
          <w:sz w:val="28"/>
          <w:szCs w:val="28"/>
        </w:rPr>
        <w:t xml:space="preserve">где в качестве минеральной добавки использовали мел. </w:t>
      </w:r>
    </w:p>
    <w:p w:rsidR="0051336B" w:rsidRPr="00E26313" w:rsidRDefault="0051336B" w:rsidP="00BC0310">
      <w:pPr>
        <w:pStyle w:val="110"/>
        <w:widowControl w:val="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E26313">
        <w:rPr>
          <w:rFonts w:ascii="Times New Roman" w:hAnsi="Times New Roman" w:cs="Times New Roman"/>
          <w:spacing w:val="0"/>
          <w:sz w:val="28"/>
          <w:szCs w:val="28"/>
        </w:rPr>
        <w:t>Содержание жира в мышечной ткани утят в опытных и контрольных групп</w:t>
      </w:r>
      <w:r>
        <w:rPr>
          <w:rFonts w:ascii="Times New Roman" w:hAnsi="Times New Roman" w:cs="Times New Roman"/>
          <w:spacing w:val="0"/>
          <w:sz w:val="28"/>
          <w:szCs w:val="28"/>
        </w:rPr>
        <w:t>ах</w:t>
      </w:r>
      <w:r w:rsidRPr="00E26313">
        <w:rPr>
          <w:rFonts w:ascii="Times New Roman" w:hAnsi="Times New Roman" w:cs="Times New Roman"/>
          <w:spacing w:val="0"/>
          <w:sz w:val="28"/>
          <w:szCs w:val="28"/>
        </w:rPr>
        <w:t xml:space="preserve"> была практически идентичная и не имела достоверной разницы. </w:t>
      </w:r>
    </w:p>
    <w:p w:rsidR="0051336B" w:rsidRDefault="0051336B" w:rsidP="00BC0310">
      <w:pPr>
        <w:pStyle w:val="110"/>
        <w:widowControl w:val="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E26313">
        <w:rPr>
          <w:rFonts w:ascii="Times New Roman" w:hAnsi="Times New Roman" w:cs="Times New Roman"/>
          <w:spacing w:val="0"/>
          <w:sz w:val="28"/>
          <w:szCs w:val="28"/>
        </w:rPr>
        <w:t>Таким образом</w:t>
      </w:r>
      <w:r>
        <w:rPr>
          <w:rFonts w:ascii="Times New Roman" w:hAnsi="Times New Roman" w:cs="Times New Roman"/>
          <w:spacing w:val="0"/>
          <w:sz w:val="28"/>
          <w:szCs w:val="28"/>
        </w:rPr>
        <w:t>,</w:t>
      </w:r>
      <w:r w:rsidRPr="00E26313">
        <w:rPr>
          <w:rFonts w:ascii="Times New Roman" w:hAnsi="Times New Roman" w:cs="Times New Roman"/>
          <w:spacing w:val="0"/>
          <w:sz w:val="28"/>
          <w:szCs w:val="28"/>
        </w:rPr>
        <w:t xml:space="preserve"> содержание сухих веществ и содержание сухого протеина 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оказалось незначительно и зависело от изучаемого кормового фактора. </w:t>
      </w:r>
    </w:p>
    <w:p w:rsidR="0051336B" w:rsidRDefault="0051336B" w:rsidP="00BC0310">
      <w:pPr>
        <w:pStyle w:val="110"/>
        <w:widowControl w:val="0"/>
        <w:shd w:val="clear" w:color="auto" w:fill="auto"/>
        <w:spacing w:line="360" w:lineRule="auto"/>
        <w:ind w:firstLine="709"/>
        <w:jc w:val="both"/>
        <w:rPr>
          <w:rStyle w:val="110pt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lastRenderedPageBreak/>
        <w:t xml:space="preserve">Содержание макроэлементов в мясе подопытных утят бройлеров незначительно колебалось, так уровень фосфора в мясе утят опытных групп был несколько ниже, чем в контрольной: </w:t>
      </w:r>
      <w:r w:rsidRPr="00DA2996">
        <w:rPr>
          <w:rStyle w:val="110pt"/>
          <w:spacing w:val="0"/>
          <w:sz w:val="28"/>
          <w:szCs w:val="28"/>
        </w:rPr>
        <w:t xml:space="preserve">I </w:t>
      </w:r>
      <w:r>
        <w:rPr>
          <w:rStyle w:val="110pt"/>
          <w:spacing w:val="0"/>
          <w:sz w:val="28"/>
          <w:szCs w:val="28"/>
        </w:rPr>
        <w:t>и</w:t>
      </w:r>
      <w:r w:rsidRPr="00DA2996">
        <w:rPr>
          <w:rStyle w:val="110pt"/>
          <w:spacing w:val="0"/>
          <w:sz w:val="28"/>
          <w:szCs w:val="28"/>
        </w:rPr>
        <w:t xml:space="preserve"> II опытной группы на 1</w:t>
      </w:r>
      <w:r>
        <w:rPr>
          <w:rStyle w:val="110pt"/>
          <w:spacing w:val="0"/>
          <w:sz w:val="28"/>
          <w:szCs w:val="28"/>
        </w:rPr>
        <w:t>0</w:t>
      </w:r>
      <w:r w:rsidRPr="00DA2996">
        <w:rPr>
          <w:rStyle w:val="110pt"/>
          <w:spacing w:val="0"/>
          <w:sz w:val="28"/>
          <w:szCs w:val="28"/>
        </w:rPr>
        <w:t>,</w:t>
      </w:r>
      <w:r>
        <w:rPr>
          <w:rStyle w:val="110pt"/>
          <w:spacing w:val="0"/>
          <w:sz w:val="28"/>
          <w:szCs w:val="28"/>
        </w:rPr>
        <w:t>5</w:t>
      </w:r>
      <w:r w:rsidRPr="00DA2996">
        <w:rPr>
          <w:rStyle w:val="110pt"/>
          <w:spacing w:val="0"/>
          <w:sz w:val="28"/>
          <w:szCs w:val="28"/>
        </w:rPr>
        <w:t>%</w:t>
      </w:r>
      <w:r>
        <w:rPr>
          <w:rStyle w:val="110pt"/>
          <w:spacing w:val="0"/>
          <w:sz w:val="28"/>
          <w:szCs w:val="28"/>
        </w:rPr>
        <w:t xml:space="preserve"> </w:t>
      </w:r>
      <w:r w:rsidRPr="00DA2996">
        <w:rPr>
          <w:rStyle w:val="110pt"/>
          <w:spacing w:val="0"/>
          <w:sz w:val="28"/>
          <w:szCs w:val="28"/>
        </w:rPr>
        <w:t>(</w:t>
      </w:r>
      <w:r w:rsidRPr="00DA2996">
        <w:rPr>
          <w:rFonts w:ascii="Times New Roman" w:hAnsi="Times New Roman" w:cs="Times New Roman"/>
          <w:sz w:val="28"/>
          <w:szCs w:val="28"/>
        </w:rPr>
        <w:t>Р</w:t>
      </w:r>
      <w:r w:rsidRPr="00DA2996">
        <w:rPr>
          <w:rFonts w:ascii="Times New Roman" w:hAnsi="Times New Roman" w:cs="Times New Roman"/>
          <w:spacing w:val="0"/>
          <w:sz w:val="28"/>
          <w:szCs w:val="28"/>
        </w:rPr>
        <w:t>&lt;0,01</w:t>
      </w:r>
      <w:r w:rsidRPr="00E26313">
        <w:rPr>
          <w:rFonts w:ascii="Times New Roman" w:hAnsi="Times New Roman" w:cs="Times New Roman"/>
          <w:spacing w:val="0"/>
          <w:sz w:val="28"/>
          <w:szCs w:val="28"/>
        </w:rPr>
        <w:t>)</w:t>
      </w:r>
      <w:r w:rsidRPr="00DA2996">
        <w:rPr>
          <w:rStyle w:val="110pt"/>
          <w:spacing w:val="0"/>
          <w:sz w:val="28"/>
          <w:szCs w:val="28"/>
        </w:rPr>
        <w:t xml:space="preserve">, III </w:t>
      </w:r>
      <w:r>
        <w:rPr>
          <w:rStyle w:val="110pt"/>
          <w:spacing w:val="0"/>
          <w:sz w:val="28"/>
          <w:szCs w:val="28"/>
        </w:rPr>
        <w:t xml:space="preserve">и </w:t>
      </w:r>
      <w:r w:rsidRPr="00DA2996">
        <w:rPr>
          <w:rStyle w:val="110pt"/>
          <w:spacing w:val="0"/>
          <w:sz w:val="28"/>
          <w:szCs w:val="28"/>
        </w:rPr>
        <w:t xml:space="preserve"> IV опытной группы</w:t>
      </w:r>
      <w:r>
        <w:rPr>
          <w:rStyle w:val="110pt"/>
          <w:spacing w:val="0"/>
          <w:sz w:val="28"/>
          <w:szCs w:val="28"/>
        </w:rPr>
        <w:t xml:space="preserve"> на 5, </w:t>
      </w:r>
      <w:r w:rsidRPr="00DA2996">
        <w:rPr>
          <w:rStyle w:val="110pt"/>
          <w:spacing w:val="0"/>
          <w:sz w:val="28"/>
          <w:szCs w:val="28"/>
        </w:rPr>
        <w:t>%</w:t>
      </w:r>
      <w:r>
        <w:rPr>
          <w:rStyle w:val="110pt"/>
          <w:spacing w:val="0"/>
          <w:sz w:val="28"/>
          <w:szCs w:val="28"/>
        </w:rPr>
        <w:t xml:space="preserve"> </w:t>
      </w:r>
      <w:r w:rsidRPr="00DA2996">
        <w:rPr>
          <w:rStyle w:val="110pt"/>
          <w:spacing w:val="0"/>
          <w:sz w:val="28"/>
          <w:szCs w:val="28"/>
        </w:rPr>
        <w:t>(</w:t>
      </w:r>
      <w:r w:rsidRPr="00DA2996">
        <w:rPr>
          <w:rFonts w:ascii="Times New Roman" w:hAnsi="Times New Roman" w:cs="Times New Roman"/>
          <w:sz w:val="28"/>
          <w:szCs w:val="28"/>
        </w:rPr>
        <w:t>Р</w:t>
      </w:r>
      <w:r w:rsidRPr="00DA2996">
        <w:rPr>
          <w:rFonts w:ascii="Times New Roman" w:hAnsi="Times New Roman" w:cs="Times New Roman"/>
          <w:spacing w:val="0"/>
          <w:sz w:val="28"/>
          <w:szCs w:val="28"/>
        </w:rPr>
        <w:t>&lt;0,01</w:t>
      </w:r>
      <w:r w:rsidRPr="00E26313">
        <w:rPr>
          <w:rFonts w:ascii="Times New Roman" w:hAnsi="Times New Roman" w:cs="Times New Roman"/>
          <w:spacing w:val="0"/>
          <w:sz w:val="28"/>
          <w:szCs w:val="28"/>
        </w:rPr>
        <w:t>).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Повышалось содержание калия в мясе утят </w:t>
      </w:r>
      <w:r w:rsidRPr="00DA2996">
        <w:rPr>
          <w:rStyle w:val="110pt"/>
          <w:spacing w:val="0"/>
          <w:sz w:val="28"/>
          <w:szCs w:val="28"/>
        </w:rPr>
        <w:t>III опытной группы</w:t>
      </w:r>
      <w:r>
        <w:rPr>
          <w:rStyle w:val="110pt"/>
          <w:spacing w:val="0"/>
          <w:sz w:val="28"/>
          <w:szCs w:val="28"/>
        </w:rPr>
        <w:t xml:space="preserve"> на 1,5, в </w:t>
      </w:r>
      <w:r w:rsidRPr="00DA2996">
        <w:rPr>
          <w:rStyle w:val="110pt"/>
          <w:spacing w:val="0"/>
          <w:sz w:val="28"/>
          <w:szCs w:val="28"/>
        </w:rPr>
        <w:t>IV опытной группы</w:t>
      </w:r>
      <w:r>
        <w:rPr>
          <w:rStyle w:val="110pt"/>
          <w:spacing w:val="0"/>
          <w:sz w:val="28"/>
          <w:szCs w:val="28"/>
        </w:rPr>
        <w:t xml:space="preserve"> калия было больше на 2,2%, во </w:t>
      </w:r>
      <w:r w:rsidRPr="00DA2996">
        <w:rPr>
          <w:rStyle w:val="110pt"/>
          <w:spacing w:val="0"/>
          <w:sz w:val="28"/>
          <w:szCs w:val="28"/>
        </w:rPr>
        <w:t>II опытной группы</w:t>
      </w:r>
      <w:r>
        <w:rPr>
          <w:rStyle w:val="110pt"/>
          <w:spacing w:val="0"/>
          <w:sz w:val="28"/>
          <w:szCs w:val="28"/>
        </w:rPr>
        <w:t xml:space="preserve"> количество калия в мясе утят уменьшилось на 1,9%.</w:t>
      </w:r>
    </w:p>
    <w:p w:rsidR="0051336B" w:rsidRDefault="0051336B" w:rsidP="00BC0310">
      <w:pPr>
        <w:pStyle w:val="110"/>
        <w:widowControl w:val="0"/>
        <w:shd w:val="clear" w:color="auto" w:fill="auto"/>
        <w:spacing w:line="360" w:lineRule="auto"/>
        <w:ind w:firstLine="709"/>
        <w:jc w:val="both"/>
        <w:rPr>
          <w:rStyle w:val="110pt"/>
          <w:spacing w:val="0"/>
          <w:sz w:val="28"/>
          <w:szCs w:val="28"/>
        </w:rPr>
      </w:pPr>
      <w:r>
        <w:rPr>
          <w:rStyle w:val="110pt"/>
          <w:spacing w:val="0"/>
          <w:sz w:val="28"/>
          <w:szCs w:val="28"/>
        </w:rPr>
        <w:t xml:space="preserve">Концентрация натрия в мясе утят в </w:t>
      </w:r>
      <w:r w:rsidRPr="00DA2996">
        <w:rPr>
          <w:rStyle w:val="110pt"/>
          <w:spacing w:val="0"/>
          <w:sz w:val="28"/>
          <w:szCs w:val="28"/>
        </w:rPr>
        <w:t xml:space="preserve">I </w:t>
      </w:r>
      <w:r>
        <w:rPr>
          <w:rStyle w:val="110pt"/>
          <w:spacing w:val="0"/>
          <w:sz w:val="28"/>
          <w:szCs w:val="28"/>
        </w:rPr>
        <w:t>и</w:t>
      </w:r>
      <w:r w:rsidRPr="00DA2996">
        <w:rPr>
          <w:rStyle w:val="110pt"/>
          <w:spacing w:val="0"/>
          <w:sz w:val="28"/>
          <w:szCs w:val="28"/>
        </w:rPr>
        <w:t xml:space="preserve"> II опытной группы</w:t>
      </w:r>
      <w:r>
        <w:rPr>
          <w:rStyle w:val="110pt"/>
          <w:spacing w:val="0"/>
          <w:sz w:val="28"/>
          <w:szCs w:val="28"/>
        </w:rPr>
        <w:t xml:space="preserve"> была ниже контрольного показателя на 1,8% и 1,5 % соответственно, </w:t>
      </w:r>
      <w:r w:rsidRPr="00DA2996">
        <w:rPr>
          <w:rStyle w:val="110pt"/>
          <w:spacing w:val="0"/>
          <w:sz w:val="28"/>
          <w:szCs w:val="28"/>
        </w:rPr>
        <w:t xml:space="preserve">III </w:t>
      </w:r>
      <w:r>
        <w:rPr>
          <w:rStyle w:val="110pt"/>
          <w:spacing w:val="0"/>
          <w:sz w:val="28"/>
          <w:szCs w:val="28"/>
        </w:rPr>
        <w:t xml:space="preserve">и </w:t>
      </w:r>
      <w:r w:rsidRPr="00DA2996">
        <w:rPr>
          <w:rStyle w:val="110pt"/>
          <w:spacing w:val="0"/>
          <w:sz w:val="28"/>
          <w:szCs w:val="28"/>
        </w:rPr>
        <w:t>IV опытной группы</w:t>
      </w:r>
      <w:r>
        <w:rPr>
          <w:rStyle w:val="110pt"/>
          <w:spacing w:val="0"/>
          <w:sz w:val="28"/>
          <w:szCs w:val="28"/>
        </w:rPr>
        <w:t xml:space="preserve"> - выше на 1,3-2,2 %. Количество магния в мясе птицы в </w:t>
      </w:r>
      <w:r w:rsidRPr="00DA2996">
        <w:rPr>
          <w:rStyle w:val="110pt"/>
          <w:spacing w:val="0"/>
          <w:sz w:val="28"/>
          <w:szCs w:val="28"/>
        </w:rPr>
        <w:t xml:space="preserve">I </w:t>
      </w:r>
      <w:r>
        <w:rPr>
          <w:rStyle w:val="110pt"/>
          <w:spacing w:val="0"/>
          <w:sz w:val="28"/>
          <w:szCs w:val="28"/>
        </w:rPr>
        <w:t>и</w:t>
      </w:r>
      <w:r w:rsidRPr="00DA2996">
        <w:rPr>
          <w:rStyle w:val="110pt"/>
          <w:spacing w:val="0"/>
          <w:sz w:val="28"/>
          <w:szCs w:val="28"/>
        </w:rPr>
        <w:t xml:space="preserve"> II опытной группы</w:t>
      </w:r>
      <w:r>
        <w:rPr>
          <w:rStyle w:val="110pt"/>
          <w:spacing w:val="0"/>
          <w:sz w:val="28"/>
          <w:szCs w:val="28"/>
        </w:rPr>
        <w:t xml:space="preserve"> было одинаково, и превышало изучаемый показатель в контрольной группе на 7,14%, и </w:t>
      </w:r>
      <w:r w:rsidRPr="00DA2996">
        <w:rPr>
          <w:rStyle w:val="110pt"/>
          <w:spacing w:val="0"/>
          <w:sz w:val="28"/>
          <w:szCs w:val="28"/>
        </w:rPr>
        <w:t>III опытной группы</w:t>
      </w:r>
      <w:r>
        <w:rPr>
          <w:rStyle w:val="110pt"/>
          <w:spacing w:val="0"/>
          <w:sz w:val="28"/>
          <w:szCs w:val="28"/>
        </w:rPr>
        <w:t xml:space="preserve"> - 10,3%.</w:t>
      </w:r>
    </w:p>
    <w:p w:rsidR="0051336B" w:rsidRDefault="0051336B" w:rsidP="00BC0310">
      <w:pPr>
        <w:pStyle w:val="110"/>
        <w:widowControl w:val="0"/>
        <w:shd w:val="clear" w:color="auto" w:fill="auto"/>
        <w:spacing w:line="360" w:lineRule="auto"/>
        <w:ind w:firstLine="709"/>
        <w:jc w:val="both"/>
        <w:rPr>
          <w:rStyle w:val="110pt"/>
          <w:spacing w:val="0"/>
          <w:sz w:val="28"/>
          <w:szCs w:val="28"/>
        </w:rPr>
      </w:pPr>
      <w:r>
        <w:rPr>
          <w:rStyle w:val="110pt"/>
          <w:spacing w:val="0"/>
          <w:sz w:val="28"/>
          <w:szCs w:val="28"/>
        </w:rPr>
        <w:t>Таким образом, содержание макроэлементов в мясе подопытных утят бройлеров незначительно колебалось, что указывает на отсутствие отрицательного влияния химических элементов, содержащих в бентоглине на макроэлементарный состава мяса утят.</w:t>
      </w:r>
    </w:p>
    <w:p w:rsidR="0051336B" w:rsidRDefault="0051336B" w:rsidP="00BC0310">
      <w:pPr>
        <w:pStyle w:val="110"/>
        <w:widowControl w:val="0"/>
        <w:shd w:val="clear" w:color="auto" w:fill="auto"/>
        <w:spacing w:line="360" w:lineRule="auto"/>
        <w:ind w:firstLine="709"/>
        <w:jc w:val="both"/>
        <w:rPr>
          <w:rStyle w:val="110pt"/>
          <w:spacing w:val="0"/>
          <w:sz w:val="28"/>
          <w:szCs w:val="28"/>
        </w:rPr>
      </w:pPr>
      <w:r>
        <w:rPr>
          <w:rStyle w:val="110pt"/>
          <w:spacing w:val="0"/>
          <w:sz w:val="28"/>
          <w:szCs w:val="28"/>
        </w:rPr>
        <w:t>Уровень микроэлементов мясе утят, выращенных на рационах, содержащих различное количество бентоглины не привело к существенному изменению микроэлементарного состава мяса в целом определенные показатели различались не достоверно.</w:t>
      </w:r>
    </w:p>
    <w:p w:rsidR="0051336B" w:rsidRPr="00E26313" w:rsidRDefault="0051336B" w:rsidP="00BC0310">
      <w:pPr>
        <w:pStyle w:val="110"/>
        <w:widowControl w:val="0"/>
        <w:shd w:val="clear" w:color="auto" w:fill="auto"/>
        <w:spacing w:line="360" w:lineRule="auto"/>
        <w:ind w:firstLine="709"/>
        <w:jc w:val="both"/>
        <w:rPr>
          <w:rStyle w:val="110pt"/>
          <w:spacing w:val="0"/>
          <w:sz w:val="28"/>
          <w:szCs w:val="28"/>
        </w:rPr>
      </w:pPr>
      <w:r>
        <w:rPr>
          <w:rStyle w:val="110pt"/>
          <w:spacing w:val="0"/>
          <w:sz w:val="28"/>
          <w:szCs w:val="28"/>
        </w:rPr>
        <w:t xml:space="preserve">Повысилось содержание железа в мясе утят </w:t>
      </w:r>
      <w:r w:rsidRPr="00DA2996">
        <w:rPr>
          <w:rStyle w:val="110pt"/>
          <w:spacing w:val="0"/>
          <w:sz w:val="28"/>
          <w:szCs w:val="28"/>
        </w:rPr>
        <w:t>IV опытной группы</w:t>
      </w:r>
      <w:r>
        <w:rPr>
          <w:rStyle w:val="110pt"/>
          <w:spacing w:val="0"/>
          <w:sz w:val="28"/>
          <w:szCs w:val="28"/>
        </w:rPr>
        <w:t xml:space="preserve"> на 5,0% </w:t>
      </w:r>
      <w:r w:rsidRPr="00DA2996">
        <w:rPr>
          <w:rStyle w:val="110pt"/>
          <w:spacing w:val="0"/>
          <w:sz w:val="28"/>
          <w:szCs w:val="28"/>
        </w:rPr>
        <w:t>(</w:t>
      </w:r>
      <w:r w:rsidRPr="00DA2996">
        <w:rPr>
          <w:rFonts w:ascii="Times New Roman" w:hAnsi="Times New Roman" w:cs="Times New Roman"/>
          <w:sz w:val="28"/>
          <w:szCs w:val="28"/>
        </w:rPr>
        <w:t>Р</w:t>
      </w:r>
      <w:r w:rsidRPr="00DA2996">
        <w:rPr>
          <w:rFonts w:ascii="Times New Roman" w:hAnsi="Times New Roman" w:cs="Times New Roman"/>
          <w:spacing w:val="0"/>
          <w:sz w:val="28"/>
          <w:szCs w:val="28"/>
        </w:rPr>
        <w:t>&lt;0,01</w:t>
      </w:r>
      <w:r w:rsidRPr="00E26313">
        <w:rPr>
          <w:rFonts w:ascii="Times New Roman" w:hAnsi="Times New Roman" w:cs="Times New Roman"/>
          <w:spacing w:val="0"/>
          <w:sz w:val="28"/>
          <w:szCs w:val="28"/>
        </w:rPr>
        <w:t>)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, </w:t>
      </w:r>
      <w:r w:rsidRPr="00DA2996">
        <w:rPr>
          <w:rStyle w:val="110pt"/>
          <w:spacing w:val="0"/>
          <w:sz w:val="28"/>
          <w:szCs w:val="28"/>
        </w:rPr>
        <w:t>III опытной группы</w:t>
      </w:r>
      <w:r>
        <w:rPr>
          <w:rStyle w:val="110pt"/>
          <w:spacing w:val="0"/>
          <w:sz w:val="28"/>
          <w:szCs w:val="28"/>
        </w:rPr>
        <w:t xml:space="preserve"> выше на 2,3 %, </w:t>
      </w:r>
      <w:r w:rsidRPr="00DA2996">
        <w:rPr>
          <w:rStyle w:val="110pt"/>
          <w:spacing w:val="0"/>
          <w:sz w:val="28"/>
          <w:szCs w:val="28"/>
        </w:rPr>
        <w:t xml:space="preserve">I </w:t>
      </w:r>
      <w:r>
        <w:rPr>
          <w:rStyle w:val="110pt"/>
          <w:spacing w:val="0"/>
          <w:sz w:val="28"/>
          <w:szCs w:val="28"/>
        </w:rPr>
        <w:t>и</w:t>
      </w:r>
      <w:r w:rsidRPr="00DA2996">
        <w:rPr>
          <w:rStyle w:val="110pt"/>
          <w:spacing w:val="0"/>
          <w:sz w:val="28"/>
          <w:szCs w:val="28"/>
        </w:rPr>
        <w:t xml:space="preserve"> II опытной группы</w:t>
      </w:r>
      <w:r>
        <w:rPr>
          <w:rStyle w:val="110pt"/>
          <w:spacing w:val="0"/>
          <w:sz w:val="28"/>
          <w:szCs w:val="28"/>
        </w:rPr>
        <w:t xml:space="preserve"> на 1,5-1,8% по сравнению с контрольной группой. Мышечной ткани утят </w:t>
      </w:r>
      <w:r w:rsidRPr="00DA2996">
        <w:rPr>
          <w:rStyle w:val="110pt"/>
          <w:spacing w:val="0"/>
          <w:sz w:val="28"/>
          <w:szCs w:val="28"/>
        </w:rPr>
        <w:t>I</w:t>
      </w:r>
      <w:r>
        <w:rPr>
          <w:rStyle w:val="110pt"/>
          <w:spacing w:val="0"/>
          <w:sz w:val="28"/>
          <w:szCs w:val="28"/>
        </w:rPr>
        <w:t>,</w:t>
      </w:r>
      <w:r w:rsidRPr="00DA2996">
        <w:rPr>
          <w:rStyle w:val="110pt"/>
          <w:spacing w:val="0"/>
          <w:sz w:val="28"/>
          <w:szCs w:val="28"/>
        </w:rPr>
        <w:t xml:space="preserve"> II</w:t>
      </w:r>
      <w:r>
        <w:rPr>
          <w:rStyle w:val="110pt"/>
          <w:spacing w:val="0"/>
          <w:sz w:val="28"/>
          <w:szCs w:val="28"/>
        </w:rPr>
        <w:t xml:space="preserve">, </w:t>
      </w:r>
      <w:r w:rsidRPr="00DA2996">
        <w:rPr>
          <w:rStyle w:val="110pt"/>
          <w:spacing w:val="0"/>
          <w:sz w:val="28"/>
          <w:szCs w:val="28"/>
        </w:rPr>
        <w:t>III</w:t>
      </w:r>
      <w:r w:rsidRPr="00E91EE5">
        <w:rPr>
          <w:rStyle w:val="110pt"/>
          <w:spacing w:val="0"/>
          <w:sz w:val="28"/>
          <w:szCs w:val="28"/>
        </w:rPr>
        <w:t xml:space="preserve"> </w:t>
      </w:r>
      <w:r>
        <w:rPr>
          <w:rStyle w:val="110pt"/>
          <w:spacing w:val="0"/>
          <w:sz w:val="28"/>
          <w:szCs w:val="28"/>
        </w:rPr>
        <w:t xml:space="preserve">и </w:t>
      </w:r>
      <w:r w:rsidRPr="00DA2996">
        <w:rPr>
          <w:rStyle w:val="110pt"/>
          <w:spacing w:val="0"/>
          <w:sz w:val="28"/>
          <w:szCs w:val="28"/>
        </w:rPr>
        <w:t>IV опытной группы</w:t>
      </w:r>
      <w:r>
        <w:rPr>
          <w:rStyle w:val="110pt"/>
          <w:spacing w:val="0"/>
          <w:sz w:val="28"/>
          <w:szCs w:val="28"/>
        </w:rPr>
        <w:t xml:space="preserve"> отмечено повышение марганца 1,6; 2,2; 10,0; 12,5%, а количество меди в опытных образцах оставалось на одном уровне с контролем. </w:t>
      </w:r>
    </w:p>
    <w:p w:rsidR="0051336B" w:rsidRDefault="0051336B" w:rsidP="00F80413">
      <w:pPr>
        <w:pStyle w:val="20"/>
        <w:widowControl w:val="0"/>
        <w:shd w:val="clear" w:color="auto" w:fill="auto"/>
        <w:spacing w:before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Наряду с химическим составом, важное свойство мяса выражается в его влагоудерживающей способности, которая определяется количеством содержащейся в нем связанной воды (табл. 4). Влагоемкость характеризует </w:t>
      </w:r>
      <w:r>
        <w:rPr>
          <w:b w:val="0"/>
          <w:sz w:val="28"/>
          <w:szCs w:val="28"/>
        </w:rPr>
        <w:lastRenderedPageBreak/>
        <w:t>способность мяса удерживать мясной сок, определять его структуру, сочность, нежность. Снижение влагоудерживающей способности обусловливает более высокие потери мяса при его переработке, что ухудшает его технологические качества.</w:t>
      </w:r>
    </w:p>
    <w:p w:rsidR="0051336B" w:rsidRDefault="0051336B" w:rsidP="00BC0310">
      <w:pPr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p w:rsidR="0051336B" w:rsidRDefault="0051336B" w:rsidP="00BC0310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Влагосвязывающая способность мяса 49-дневных утят (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=5)</w:t>
      </w:r>
    </w:p>
    <w:tbl>
      <w:tblPr>
        <w:tblW w:w="5000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37"/>
        <w:gridCol w:w="1523"/>
        <w:gridCol w:w="1298"/>
        <w:gridCol w:w="1298"/>
        <w:gridCol w:w="1314"/>
        <w:gridCol w:w="1320"/>
      </w:tblGrid>
      <w:tr w:rsidR="0051336B" w:rsidRPr="00EF7FF3" w:rsidTr="00201C21">
        <w:trPr>
          <w:trHeight w:val="20"/>
        </w:trPr>
        <w:tc>
          <w:tcPr>
            <w:tcW w:w="1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37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F80413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</w:t>
            </w:r>
          </w:p>
        </w:tc>
      </w:tr>
      <w:tr w:rsidR="0051336B" w:rsidRPr="00EF7FF3" w:rsidTr="00201C21">
        <w:trPr>
          <w:trHeight w:val="20"/>
        </w:trPr>
        <w:tc>
          <w:tcPr>
            <w:tcW w:w="1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6B" w:rsidRPr="00EF7FF3" w:rsidRDefault="0051336B" w:rsidP="00F8041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</w:p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опытная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</w:t>
            </w:r>
          </w:p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опытная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опытная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  <w:p w:rsidR="0051336B" w:rsidRDefault="0051336B" w:rsidP="00F80413">
            <w:pPr>
              <w:pStyle w:val="5"/>
              <w:widowControl w:val="0"/>
              <w:shd w:val="clear" w:color="auto" w:fill="auto"/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опытная</w:t>
            </w:r>
            <w:r>
              <w:rPr>
                <w:rStyle w:val="1"/>
                <w:sz w:val="28"/>
                <w:szCs w:val="28"/>
              </w:rPr>
              <w:t xml:space="preserve"> </w:t>
            </w:r>
          </w:p>
        </w:tc>
      </w:tr>
      <w:tr w:rsidR="0051336B" w:rsidRPr="00EF7FF3" w:rsidTr="00201C21">
        <w:trPr>
          <w:trHeight w:val="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201C2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связанной воды, %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45,32±1,12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45,58±2,84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47,97±2,44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48,81±3,57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49,62±1,03</w:t>
            </w:r>
          </w:p>
        </w:tc>
      </w:tr>
      <w:tr w:rsidR="0051336B" w:rsidRPr="00EF7FF3" w:rsidTr="00201C21">
        <w:trPr>
          <w:trHeight w:val="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36B" w:rsidRPr="00EF7FF3" w:rsidRDefault="0051336B" w:rsidP="00201C2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связанной воды к общей влаги, %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64,97±1,49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60,52±3,47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63,49±3,45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65,14±4,82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36B" w:rsidRPr="00EF7FF3" w:rsidRDefault="0051336B" w:rsidP="00201C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65,82±1,31</w:t>
            </w:r>
          </w:p>
        </w:tc>
      </w:tr>
    </w:tbl>
    <w:p w:rsidR="0051336B" w:rsidRDefault="0051336B" w:rsidP="008F4D18">
      <w:pPr>
        <w:pStyle w:val="20"/>
        <w:widowControl w:val="0"/>
        <w:shd w:val="clear" w:color="auto" w:fill="auto"/>
        <w:spacing w:before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Как показали результаты исследований, мясо утят опытных групп имело более высокую влагоемкость, по сравнению с утятами контрольной группы. При этом содержание связанной воды в мясе утят </w:t>
      </w:r>
      <w:r>
        <w:rPr>
          <w:b w:val="0"/>
          <w:sz w:val="28"/>
          <w:szCs w:val="28"/>
          <w:lang w:val="en-US"/>
        </w:rPr>
        <w:t>I</w:t>
      </w:r>
      <w:r>
        <w:rPr>
          <w:b w:val="0"/>
          <w:sz w:val="28"/>
          <w:szCs w:val="28"/>
        </w:rPr>
        <w:t>-</w:t>
      </w:r>
      <w:r>
        <w:rPr>
          <w:b w:val="0"/>
          <w:sz w:val="28"/>
          <w:szCs w:val="28"/>
          <w:lang w:val="en-US"/>
        </w:rPr>
        <w:t>IV</w:t>
      </w:r>
      <w:r>
        <w:rPr>
          <w:b w:val="0"/>
          <w:sz w:val="28"/>
          <w:szCs w:val="28"/>
        </w:rPr>
        <w:t xml:space="preserve"> опытных групп увеличилось на 0,26-4,3% по сравнению с аналогами контрольной группы.</w:t>
      </w:r>
    </w:p>
    <w:p w:rsidR="0051336B" w:rsidRDefault="0051336B" w:rsidP="00BC0310">
      <w:pPr>
        <w:pStyle w:val="20"/>
        <w:widowControl w:val="0"/>
        <w:shd w:val="clear" w:color="auto" w:fill="auto"/>
        <w:spacing w:before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Таким образом, экобентокорм повлиял на повышение влагоудерживающей способности мяса утят, что способствовало улучшению его технологических свойств.</w:t>
      </w:r>
    </w:p>
    <w:p w:rsidR="0051336B" w:rsidRPr="009F418E" w:rsidRDefault="0051336B" w:rsidP="00BC0310">
      <w:pPr>
        <w:pStyle w:val="20"/>
        <w:widowControl w:val="0"/>
        <w:shd w:val="clear" w:color="auto" w:fill="auto"/>
        <w:spacing w:before="0" w:line="360" w:lineRule="auto"/>
        <w:ind w:firstLine="709"/>
        <w:jc w:val="both"/>
        <w:rPr>
          <w:rStyle w:val="1"/>
          <w:bCs w:val="0"/>
          <w:sz w:val="28"/>
          <w:szCs w:val="28"/>
        </w:rPr>
      </w:pPr>
      <w:r w:rsidRPr="009F418E">
        <w:rPr>
          <w:rStyle w:val="1"/>
          <w:bCs w:val="0"/>
          <w:sz w:val="28"/>
          <w:szCs w:val="28"/>
        </w:rPr>
        <w:t xml:space="preserve">Заключение </w:t>
      </w:r>
    </w:p>
    <w:p w:rsidR="0051336B" w:rsidRDefault="0051336B" w:rsidP="00A55E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Исследование показало: в</w:t>
      </w:r>
      <w:r w:rsidRPr="00F94ECF">
        <w:rPr>
          <w:rFonts w:ascii="Times New Roman" w:hAnsi="Times New Roman"/>
          <w:sz w:val="28"/>
          <w:szCs w:val="28"/>
        </w:rPr>
        <w:t>ведение в рацион утят бентоглины в качестве кормовой добавки позволило повысить живую массу, среднесуточный прирост, сохранность утят</w:t>
      </w:r>
      <w:r>
        <w:rPr>
          <w:rFonts w:ascii="Times New Roman" w:hAnsi="Times New Roman"/>
          <w:sz w:val="28"/>
          <w:szCs w:val="28"/>
        </w:rPr>
        <w:t xml:space="preserve">, массу полупотрашённой и потрошённой тушек, выход съедобных частей, мясные качества </w:t>
      </w:r>
      <w:r w:rsidRPr="00F94ECF">
        <w:rPr>
          <w:rFonts w:ascii="Times New Roman" w:hAnsi="Times New Roman"/>
          <w:sz w:val="28"/>
          <w:szCs w:val="28"/>
        </w:rPr>
        <w:t>по сравнению с контрольной группой</w:t>
      </w:r>
      <w:r>
        <w:rPr>
          <w:rFonts w:ascii="Times New Roman" w:hAnsi="Times New Roman"/>
          <w:sz w:val="28"/>
          <w:szCs w:val="28"/>
        </w:rPr>
        <w:t>.</w:t>
      </w:r>
      <w:r w:rsidRPr="00334C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 в трех недельном возрасте живая масса утят была больше на 11,5%-18,2% по сравнению с утятами контрольной группы, а в семи недельном возрасте эта разница составила </w:t>
      </w:r>
      <w:r>
        <w:rPr>
          <w:rFonts w:ascii="Times New Roman" w:hAnsi="Times New Roman"/>
          <w:sz w:val="28"/>
          <w:szCs w:val="28"/>
        </w:rPr>
        <w:lastRenderedPageBreak/>
        <w:t xml:space="preserve">соответственно 8,4-12%, а среднесуточный прирост на 7,2-14,1% при высокой сохранности. Утята, выращенные на рационах, содержащих бентоглину в различных концентратах (дозах) </w:t>
      </w:r>
      <w:r w:rsidRPr="007E50AF">
        <w:rPr>
          <w:rFonts w:ascii="Times New Roman" w:hAnsi="Times New Roman"/>
          <w:sz w:val="28"/>
          <w:szCs w:val="28"/>
        </w:rPr>
        <w:t xml:space="preserve">позволило повысить массу полупотрошенной и потрошенной тушек, выход съедобных частей, улучшить мясные качества утят. </w:t>
      </w:r>
    </w:p>
    <w:p w:rsidR="0051336B" w:rsidRPr="00A55E3F" w:rsidRDefault="0051336B" w:rsidP="00F80413">
      <w:pPr>
        <w:pStyle w:val="110"/>
        <w:widowControl w:val="0"/>
        <w:shd w:val="clear" w:color="auto" w:fill="auto"/>
        <w:spacing w:line="360" w:lineRule="auto"/>
        <w:ind w:firstLine="709"/>
        <w:jc w:val="center"/>
        <w:rPr>
          <w:rStyle w:val="1"/>
          <w:b/>
          <w:bCs/>
          <w:sz w:val="28"/>
          <w:szCs w:val="28"/>
        </w:rPr>
      </w:pPr>
      <w:r w:rsidRPr="00A55E3F">
        <w:rPr>
          <w:rStyle w:val="1"/>
          <w:b/>
          <w:sz w:val="28"/>
          <w:szCs w:val="28"/>
        </w:rPr>
        <w:t>Литература</w:t>
      </w:r>
    </w:p>
    <w:p w:rsidR="0051336B" w:rsidRDefault="0051336B" w:rsidP="009E351B">
      <w:pPr>
        <w:shd w:val="clear" w:color="auto" w:fill="FFFFFF"/>
        <w:spacing w:after="0" w:line="240" w:lineRule="auto"/>
        <w:ind w:firstLine="709"/>
        <w:jc w:val="both"/>
        <w:rPr>
          <w:rStyle w:val="1p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60220">
        <w:rPr>
          <w:rFonts w:ascii="Times New Roman" w:hAnsi="Times New Roman"/>
          <w:sz w:val="24"/>
          <w:szCs w:val="24"/>
        </w:rPr>
        <w:t>Андрианова</w:t>
      </w:r>
      <w:r>
        <w:rPr>
          <w:rFonts w:ascii="Times New Roman" w:hAnsi="Times New Roman"/>
          <w:sz w:val="24"/>
          <w:szCs w:val="24"/>
        </w:rPr>
        <w:t>,</w:t>
      </w:r>
      <w:r w:rsidRPr="00D60220">
        <w:rPr>
          <w:rFonts w:ascii="Times New Roman" w:hAnsi="Times New Roman"/>
          <w:sz w:val="24"/>
          <w:szCs w:val="24"/>
        </w:rPr>
        <w:t xml:space="preserve"> Е.Н. К вопросу о возможности использования цеолитоподобных глин в производстве премиксов</w:t>
      </w:r>
      <w:r w:rsidRPr="002478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/Е.Н. </w:t>
      </w:r>
      <w:r w:rsidRPr="00D60220">
        <w:rPr>
          <w:rFonts w:ascii="Times New Roman" w:hAnsi="Times New Roman"/>
          <w:sz w:val="24"/>
          <w:szCs w:val="24"/>
        </w:rPr>
        <w:t>Андрианова</w:t>
      </w:r>
      <w:r>
        <w:rPr>
          <w:rFonts w:ascii="Times New Roman" w:hAnsi="Times New Roman"/>
          <w:sz w:val="24"/>
          <w:szCs w:val="24"/>
        </w:rPr>
        <w:t>,</w:t>
      </w:r>
      <w:r w:rsidRPr="00D602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Pr="00D6022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D60220">
        <w:rPr>
          <w:rFonts w:ascii="Times New Roman" w:hAnsi="Times New Roman"/>
          <w:sz w:val="24"/>
          <w:szCs w:val="24"/>
        </w:rPr>
        <w:t>. Околелова</w:t>
      </w:r>
      <w:r>
        <w:rPr>
          <w:rFonts w:ascii="Times New Roman" w:hAnsi="Times New Roman"/>
          <w:sz w:val="24"/>
          <w:szCs w:val="24"/>
        </w:rPr>
        <w:t xml:space="preserve"> //</w:t>
      </w:r>
      <w:r w:rsidRPr="00D60220">
        <w:rPr>
          <w:rFonts w:ascii="Times New Roman" w:hAnsi="Times New Roman"/>
          <w:sz w:val="24"/>
          <w:szCs w:val="24"/>
        </w:rPr>
        <w:t xml:space="preserve">Птицеводство </w:t>
      </w:r>
      <w:r>
        <w:rPr>
          <w:rFonts w:ascii="Times New Roman" w:hAnsi="Times New Roman"/>
          <w:sz w:val="24"/>
          <w:szCs w:val="24"/>
        </w:rPr>
        <w:t>–</w:t>
      </w:r>
      <w:r w:rsidRPr="00D60220">
        <w:rPr>
          <w:rFonts w:ascii="Times New Roman" w:hAnsi="Times New Roman"/>
          <w:sz w:val="24"/>
          <w:szCs w:val="24"/>
        </w:rPr>
        <w:t xml:space="preserve"> мировой и отечественный опыт: Материалы международной конференции. - М., 2004. - С.</w:t>
      </w:r>
      <w:r w:rsidRPr="00D60220">
        <w:rPr>
          <w:rStyle w:val="1pt"/>
          <w:sz w:val="24"/>
          <w:szCs w:val="24"/>
        </w:rPr>
        <w:t>92-94.</w:t>
      </w:r>
    </w:p>
    <w:p w:rsidR="0051336B" w:rsidRDefault="0051336B" w:rsidP="00765843">
      <w:pPr>
        <w:shd w:val="clear" w:color="auto" w:fill="FFFFFF"/>
        <w:spacing w:after="0" w:line="240" w:lineRule="auto"/>
        <w:ind w:firstLine="709"/>
        <w:jc w:val="both"/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1pt"/>
          <w:sz w:val="24"/>
          <w:szCs w:val="24"/>
        </w:rPr>
        <w:t xml:space="preserve">2. </w:t>
      </w:r>
      <w:r w:rsidRPr="00D60220"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>Зеленкова</w:t>
      </w:r>
      <w:r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>,</w:t>
      </w:r>
      <w:r w:rsidRPr="00D60220"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Г.А. Эффективность использования экобентокорма и известняка в рационе утят </w:t>
      </w:r>
      <w:r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/Г.А. </w:t>
      </w:r>
      <w:r w:rsidRPr="00D60220"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>Зеленкова</w:t>
      </w:r>
      <w:r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, </w:t>
      </w:r>
      <w:r w:rsidRPr="00D60220"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>А.</w:t>
      </w:r>
      <w:r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>П.</w:t>
      </w:r>
      <w:r w:rsidRPr="00D60220"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Пахомов</w:t>
      </w:r>
      <w:r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>, Е.В.</w:t>
      </w:r>
      <w:r w:rsidRPr="00D60220"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Малащкевич</w:t>
      </w:r>
      <w:r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Pr="00D60220"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>//Известия Оренбургского государственного аграрного университета. – 2014. - №5 (49). – С.151-155</w:t>
      </w:r>
      <w:r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>.</w:t>
      </w:r>
    </w:p>
    <w:p w:rsidR="0051336B" w:rsidRDefault="0051336B" w:rsidP="007658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990099"/>
          <w:sz w:val="24"/>
          <w:szCs w:val="24"/>
          <w:u w:val="single"/>
          <w:lang w:eastAsia="ru-RU"/>
        </w:rPr>
      </w:pPr>
      <w:r>
        <w:rPr>
          <w:rStyle w:val="a6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3. </w:t>
      </w:r>
      <w:r w:rsidRPr="00D60220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Использование в рационах птиц наноструктурированных сорбирующих добавок</w:t>
      </w:r>
      <w:r w:rsidRPr="00247827">
        <w:rPr>
          <w:rStyle w:val="1"/>
          <w:sz w:val="24"/>
          <w:szCs w:val="24"/>
        </w:rPr>
        <w:t xml:space="preserve"> </w:t>
      </w:r>
      <w:r>
        <w:rPr>
          <w:rStyle w:val="1"/>
          <w:sz w:val="24"/>
          <w:szCs w:val="24"/>
        </w:rPr>
        <w:t>/</w:t>
      </w:r>
      <w:r w:rsidRPr="00D60220">
        <w:rPr>
          <w:rStyle w:val="1"/>
          <w:sz w:val="24"/>
          <w:szCs w:val="24"/>
        </w:rPr>
        <w:t>А.</w:t>
      </w:r>
      <w:r w:rsidRPr="00D60220">
        <w:rPr>
          <w:rFonts w:ascii="Times New Roman" w:hAnsi="Times New Roman"/>
          <w:color w:val="000000"/>
          <w:sz w:val="24"/>
          <w:szCs w:val="24"/>
          <w:lang w:eastAsia="ru-RU"/>
        </w:rPr>
        <w:t>П. Пахомов, Г.А. Зеленкова, А.А. Веровский и др.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60220">
        <w:rPr>
          <w:rFonts w:ascii="Times New Roman" w:hAnsi="Times New Roman"/>
          <w:color w:val="000000"/>
          <w:sz w:val="24"/>
          <w:szCs w:val="24"/>
          <w:lang w:eastAsia="ru-RU"/>
        </w:rPr>
        <w:t>//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D60220">
        <w:rPr>
          <w:rFonts w:ascii="Times New Roman" w:hAnsi="Times New Roman"/>
          <w:color w:val="000000"/>
          <w:sz w:val="24"/>
          <w:szCs w:val="24"/>
          <w:lang w:eastAsia="ru-RU"/>
        </w:rPr>
        <w:t>аучный журнал Куб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ГАУ</w:t>
      </w:r>
      <w:r w:rsidRPr="00D602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[Электронный ресурс]. – Краснодар: КубГАУ. – 2014. – № 97 (03). – </w:t>
      </w:r>
      <w:r w:rsidRPr="00D602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IDA [article ID]: 0971403030.</w:t>
      </w:r>
      <w:r w:rsidRPr="00D60220">
        <w:rPr>
          <w:rFonts w:ascii="Times New Roman" w:hAnsi="Times New Roman"/>
          <w:color w:val="000000"/>
          <w:sz w:val="24"/>
          <w:szCs w:val="24"/>
          <w:lang w:eastAsia="ru-RU"/>
        </w:rPr>
        <w:t> – С. 647-675. – Режим доступа: </w:t>
      </w:r>
      <w:hyperlink r:id="rId14" w:tgtFrame="_blank" w:history="1">
        <w:r w:rsidRPr="00D60220">
          <w:rPr>
            <w:rFonts w:ascii="Times New Roman" w:hAnsi="Times New Roman"/>
            <w:color w:val="990099"/>
            <w:sz w:val="24"/>
            <w:szCs w:val="24"/>
            <w:u w:val="single"/>
            <w:lang w:eastAsia="ru-RU"/>
          </w:rPr>
          <w:t>http://ej.kubagro.ru/2014/03/pdf/30.pdf</w:t>
        </w:r>
      </w:hyperlink>
    </w:p>
    <w:p w:rsidR="0051336B" w:rsidRDefault="0051336B" w:rsidP="007658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5E3F">
        <w:rPr>
          <w:rFonts w:ascii="Times New Roman" w:hAnsi="Times New Roman"/>
          <w:sz w:val="24"/>
          <w:szCs w:val="24"/>
          <w:lang w:eastAsia="ru-RU"/>
        </w:rPr>
        <w:t>4.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0220">
        <w:rPr>
          <w:rFonts w:ascii="Times New Roman" w:hAnsi="Times New Roman"/>
          <w:sz w:val="24"/>
          <w:szCs w:val="24"/>
        </w:rPr>
        <w:t>Садовая</w:t>
      </w:r>
      <w:r>
        <w:rPr>
          <w:rFonts w:ascii="Times New Roman" w:hAnsi="Times New Roman"/>
          <w:sz w:val="24"/>
          <w:szCs w:val="24"/>
        </w:rPr>
        <w:t>,</w:t>
      </w:r>
      <w:r w:rsidRPr="00D60220">
        <w:rPr>
          <w:rFonts w:ascii="Times New Roman" w:hAnsi="Times New Roman"/>
          <w:sz w:val="24"/>
          <w:szCs w:val="24"/>
        </w:rPr>
        <w:t xml:space="preserve"> С. Влияние цеолитов на зоотехнические показатели утят </w:t>
      </w:r>
      <w:r>
        <w:rPr>
          <w:rFonts w:ascii="Times New Roman" w:hAnsi="Times New Roman"/>
          <w:sz w:val="24"/>
          <w:szCs w:val="24"/>
        </w:rPr>
        <w:t xml:space="preserve">/С. </w:t>
      </w:r>
      <w:r w:rsidRPr="00D60220">
        <w:rPr>
          <w:rFonts w:ascii="Times New Roman" w:hAnsi="Times New Roman"/>
          <w:sz w:val="24"/>
          <w:szCs w:val="24"/>
        </w:rPr>
        <w:t>Садовая</w:t>
      </w:r>
      <w:r>
        <w:rPr>
          <w:rFonts w:ascii="Times New Roman" w:hAnsi="Times New Roman"/>
          <w:sz w:val="24"/>
          <w:szCs w:val="24"/>
        </w:rPr>
        <w:t>,</w:t>
      </w:r>
      <w:r w:rsidRPr="00D602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</w:t>
      </w:r>
      <w:r w:rsidRPr="00D60220">
        <w:rPr>
          <w:rFonts w:ascii="Times New Roman" w:hAnsi="Times New Roman"/>
          <w:sz w:val="24"/>
          <w:szCs w:val="24"/>
        </w:rPr>
        <w:t xml:space="preserve"> Корнилова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0220">
        <w:rPr>
          <w:rFonts w:ascii="Times New Roman" w:hAnsi="Times New Roman"/>
          <w:sz w:val="24"/>
          <w:szCs w:val="24"/>
        </w:rPr>
        <w:t>// Птицеводство. - 2007. - № 8. - С.16-18.</w:t>
      </w:r>
    </w:p>
    <w:p w:rsidR="0051336B" w:rsidRPr="003A3A84" w:rsidRDefault="0051336B" w:rsidP="007658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D60220">
        <w:rPr>
          <w:rFonts w:ascii="Times New Roman" w:hAnsi="Times New Roman"/>
          <w:sz w:val="24"/>
          <w:szCs w:val="24"/>
        </w:rPr>
        <w:t>Фисинин</w:t>
      </w:r>
      <w:r>
        <w:rPr>
          <w:rFonts w:ascii="Times New Roman" w:hAnsi="Times New Roman"/>
          <w:sz w:val="24"/>
          <w:szCs w:val="24"/>
        </w:rPr>
        <w:t>, В.И</w:t>
      </w:r>
      <w:r w:rsidRPr="00D60220">
        <w:rPr>
          <w:rFonts w:ascii="Times New Roman" w:hAnsi="Times New Roman"/>
          <w:sz w:val="24"/>
          <w:szCs w:val="24"/>
        </w:rPr>
        <w:t xml:space="preserve">. Кормление сельскохозяйственной птицы </w:t>
      </w:r>
      <w:r>
        <w:rPr>
          <w:rFonts w:ascii="Times New Roman" w:hAnsi="Times New Roman"/>
          <w:sz w:val="24"/>
          <w:szCs w:val="24"/>
        </w:rPr>
        <w:t xml:space="preserve">/В.И. </w:t>
      </w:r>
      <w:r w:rsidRPr="00D60220">
        <w:rPr>
          <w:rFonts w:ascii="Times New Roman" w:hAnsi="Times New Roman"/>
          <w:sz w:val="24"/>
          <w:szCs w:val="24"/>
        </w:rPr>
        <w:t xml:space="preserve">Фисинин, </w:t>
      </w:r>
      <w:r>
        <w:rPr>
          <w:rFonts w:ascii="Times New Roman" w:hAnsi="Times New Roman"/>
          <w:sz w:val="24"/>
          <w:szCs w:val="24"/>
        </w:rPr>
        <w:t xml:space="preserve">И.А. </w:t>
      </w:r>
      <w:r w:rsidRPr="00D60220">
        <w:rPr>
          <w:rFonts w:ascii="Times New Roman" w:hAnsi="Times New Roman"/>
          <w:sz w:val="24"/>
          <w:szCs w:val="24"/>
        </w:rPr>
        <w:t xml:space="preserve">Егоров, </w:t>
      </w:r>
      <w:r>
        <w:rPr>
          <w:rFonts w:ascii="Times New Roman" w:hAnsi="Times New Roman"/>
          <w:sz w:val="24"/>
          <w:szCs w:val="24"/>
        </w:rPr>
        <w:t xml:space="preserve">Т.М. </w:t>
      </w:r>
      <w:r w:rsidRPr="00D60220">
        <w:rPr>
          <w:rFonts w:ascii="Times New Roman" w:hAnsi="Times New Roman"/>
          <w:sz w:val="24"/>
          <w:szCs w:val="24"/>
        </w:rPr>
        <w:t>Околелова и др.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D60220">
        <w:rPr>
          <w:rFonts w:ascii="Times New Roman" w:hAnsi="Times New Roman"/>
          <w:sz w:val="24"/>
          <w:szCs w:val="24"/>
        </w:rPr>
        <w:t>Сергиев Посад, 2000</w:t>
      </w:r>
      <w:r>
        <w:rPr>
          <w:rFonts w:ascii="Times New Roman" w:hAnsi="Times New Roman"/>
          <w:sz w:val="24"/>
          <w:szCs w:val="24"/>
        </w:rPr>
        <w:t xml:space="preserve"> – 250 с.</w:t>
      </w:r>
    </w:p>
    <w:p w:rsidR="0051336B" w:rsidRDefault="0051336B" w:rsidP="007658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6. </w:t>
      </w:r>
      <w:r w:rsidRPr="00765843">
        <w:rPr>
          <w:rFonts w:ascii="Times New Roman" w:hAnsi="Times New Roman"/>
          <w:iCs/>
          <w:sz w:val="24"/>
          <w:szCs w:val="24"/>
        </w:rPr>
        <w:t>Зеленкова</w:t>
      </w:r>
      <w:r>
        <w:rPr>
          <w:rFonts w:ascii="Times New Roman" w:hAnsi="Times New Roman"/>
          <w:iCs/>
          <w:sz w:val="24"/>
          <w:szCs w:val="24"/>
        </w:rPr>
        <w:t>,</w:t>
      </w:r>
      <w:r w:rsidRPr="00765843">
        <w:rPr>
          <w:rFonts w:ascii="Times New Roman" w:hAnsi="Times New Roman"/>
          <w:iCs/>
          <w:sz w:val="24"/>
          <w:szCs w:val="24"/>
        </w:rPr>
        <w:t xml:space="preserve"> Г.А.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hyperlink r:id="rId15" w:history="1">
        <w:r w:rsidRPr="00765843">
          <w:rPr>
            <w:rStyle w:val="ad"/>
            <w:rFonts w:ascii="Times New Roman" w:hAnsi="Times New Roman"/>
            <w:bCs/>
            <w:color w:val="auto"/>
            <w:sz w:val="24"/>
            <w:szCs w:val="24"/>
            <w:u w:val="none"/>
          </w:rPr>
          <w:t>Повышение эффективности использования экобентокорма в сочетании с биологически активными веществами в птицеводстве и скотоводстве</w:t>
        </w:r>
      </w:hyperlink>
      <w:r>
        <w:rPr>
          <w:rFonts w:ascii="Times New Roman" w:hAnsi="Times New Roman"/>
          <w:sz w:val="24"/>
          <w:szCs w:val="24"/>
        </w:rPr>
        <w:t>.</w:t>
      </w:r>
      <w:r w:rsidRPr="007658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Pr="00765843">
        <w:rPr>
          <w:rFonts w:ascii="Times New Roman" w:hAnsi="Times New Roman"/>
          <w:sz w:val="24"/>
          <w:szCs w:val="24"/>
        </w:rPr>
        <w:t xml:space="preserve">втореферат дис. ... доктора сельскохозяйственных наук /Поволж. науч.-исслед. ин-т производства и переработки мясомолочной продукции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765843">
        <w:rPr>
          <w:rFonts w:ascii="Times New Roman" w:hAnsi="Times New Roman"/>
          <w:sz w:val="24"/>
          <w:szCs w:val="24"/>
        </w:rPr>
        <w:t>Волгоград, 2015</w:t>
      </w:r>
      <w:r>
        <w:rPr>
          <w:rFonts w:ascii="Times New Roman" w:hAnsi="Times New Roman"/>
          <w:sz w:val="24"/>
          <w:szCs w:val="24"/>
        </w:rPr>
        <w:t>, - 56 с.</w:t>
      </w:r>
    </w:p>
    <w:p w:rsidR="0051336B" w:rsidRDefault="0051336B" w:rsidP="00F8041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1336B" w:rsidRDefault="0051336B" w:rsidP="00F8041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65843">
        <w:rPr>
          <w:rFonts w:ascii="Times New Roman" w:hAnsi="Times New Roman"/>
          <w:b/>
          <w:sz w:val="24"/>
          <w:szCs w:val="24"/>
        </w:rPr>
        <w:t>References</w:t>
      </w:r>
    </w:p>
    <w:p w:rsidR="0051336B" w:rsidRDefault="0051336B" w:rsidP="00F804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5843">
        <w:rPr>
          <w:rFonts w:ascii="Times New Roman" w:hAnsi="Times New Roman"/>
          <w:sz w:val="24"/>
          <w:szCs w:val="24"/>
        </w:rPr>
        <w:t>1. Andrianova, E.N. K voprosu o vozmozhnosti ispol'zovaniya ceolitopodobnyh glin v proizvodstve premiksov /E.N. Andrianova, T.M. Okolelova //Pticevodstvo – mirovoj i otechestvennyj opyt: Materialy mezhdunarodnoj konferencii. - M., 2004. - S.92-94.</w:t>
      </w:r>
    </w:p>
    <w:p w:rsidR="0051336B" w:rsidRDefault="0051336B" w:rsidP="00F804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65843">
        <w:rPr>
          <w:rFonts w:ascii="Times New Roman" w:hAnsi="Times New Roman"/>
          <w:sz w:val="24"/>
          <w:szCs w:val="24"/>
        </w:rPr>
        <w:t>Zelenkova, G.A. Effektivnost' ispol'zovaniya ekobentokorma i izvestnyaka v racione utyat /G.A. Zelenkova, A.P. Pahomov, E.V. Malashchkevich //Izvestiya Orenburgskogo gosudarstvennogo agrarnogo universiteta. – 2014. - №5 (49). – S.151-155.</w:t>
      </w:r>
    </w:p>
    <w:p w:rsidR="0051336B" w:rsidRDefault="0051336B" w:rsidP="00F804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E351B">
        <w:rPr>
          <w:rFonts w:ascii="Times New Roman" w:hAnsi="Times New Roman"/>
          <w:sz w:val="24"/>
          <w:szCs w:val="24"/>
        </w:rPr>
        <w:t xml:space="preserve">Ispol'zovanie v racionah ptic nanostrukturirovannyh sorbiruyushchih dobavok /A.P. Pahomov, G.A. Zelenkova, A.A. Verovskij i dr. //Nauchnyj zhurnal KubGAU [Elektronnyj resurs]. – Krasnodar: KubGAU. – 2014. – № 97 (03). – IDA [article ID]: 0971403030. – S. 647-675. – Rezhim dostupa: </w:t>
      </w:r>
      <w:hyperlink r:id="rId16" w:history="1">
        <w:r w:rsidRPr="0086680F">
          <w:rPr>
            <w:rStyle w:val="ad"/>
            <w:rFonts w:ascii="Times New Roman" w:hAnsi="Times New Roman"/>
            <w:sz w:val="24"/>
            <w:szCs w:val="24"/>
          </w:rPr>
          <w:t>http://ej.kubagro.ru/2014/03/pdf/30.pdf</w:t>
        </w:r>
      </w:hyperlink>
    </w:p>
    <w:p w:rsidR="0051336B" w:rsidRDefault="0051336B" w:rsidP="00F804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9E351B">
        <w:rPr>
          <w:rFonts w:ascii="Times New Roman" w:hAnsi="Times New Roman"/>
          <w:sz w:val="24"/>
          <w:szCs w:val="24"/>
        </w:rPr>
        <w:t>Sadovaya, S. Vliyanie ceolitov na zootekhnicheskie pokazateli utyat /S. Sadovaya, V. Kornilova // Pticevodstvo. - 2007. - № 8. - S.16-18.</w:t>
      </w:r>
    </w:p>
    <w:p w:rsidR="0051336B" w:rsidRDefault="0051336B" w:rsidP="00F804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9E351B">
        <w:rPr>
          <w:rFonts w:ascii="Times New Roman" w:hAnsi="Times New Roman"/>
          <w:sz w:val="24"/>
          <w:szCs w:val="24"/>
        </w:rPr>
        <w:t>Fisinin, V.I. Kormlenie sel'skohozyajstvennoj pticy /V.I. Fisinin, I.A. Egorov, T.M. Okolelova i dr. – Sergiev Posad, 2000 – 250 s.</w:t>
      </w:r>
    </w:p>
    <w:p w:rsidR="0051336B" w:rsidRPr="00765843" w:rsidRDefault="0051336B" w:rsidP="00F804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9E351B">
        <w:rPr>
          <w:rFonts w:ascii="Times New Roman" w:hAnsi="Times New Roman"/>
          <w:sz w:val="24"/>
          <w:szCs w:val="24"/>
        </w:rPr>
        <w:t xml:space="preserve">Zelenkova, G.A. Povyshenie effektivnosti ispol'zovaniya ekobentokorma v sochetanii s biologicheski aktivnymi veshchestvami v pticevodstve i skotovodstve. </w:t>
      </w:r>
      <w:r w:rsidRPr="009E351B">
        <w:rPr>
          <w:rFonts w:ascii="Times New Roman" w:hAnsi="Times New Roman"/>
          <w:sz w:val="24"/>
          <w:szCs w:val="24"/>
        </w:rPr>
        <w:lastRenderedPageBreak/>
        <w:t>Avtoreferat dis. ... doktora sel'skohozyajstvennyh nauk /Povolzh. nauch.-issled. in-t proizvodstva i pererabotki myasomolochnoj produkcii. – Volgograd, 2015, - 56 s.</w:t>
      </w:r>
    </w:p>
    <w:sectPr w:rsidR="0051336B" w:rsidRPr="00765843" w:rsidSect="00201C21">
      <w:headerReference w:type="default" r:id="rId17"/>
      <w:footerReference w:type="default" r:id="rId1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0D4" w:rsidRDefault="001310D4" w:rsidP="00201C21">
      <w:pPr>
        <w:spacing w:after="0" w:line="240" w:lineRule="auto"/>
      </w:pPr>
      <w:r>
        <w:separator/>
      </w:r>
    </w:p>
  </w:endnote>
  <w:endnote w:type="continuationSeparator" w:id="0">
    <w:p w:rsidR="001310D4" w:rsidRDefault="001310D4" w:rsidP="00201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8EA" w:rsidRPr="00564B08" w:rsidRDefault="00564B08" w:rsidP="00564B08">
    <w:pPr>
      <w:pStyle w:val="a7"/>
      <w:ind w:left="0"/>
      <w:rPr>
        <w:rFonts w:ascii="Times New Roman" w:hAnsi="Times New Roman"/>
        <w:lang w:val="en-US"/>
      </w:rPr>
    </w:pPr>
    <w:hyperlink r:id="rId1" w:history="1">
      <w:r w:rsidRPr="00B54E74">
        <w:rPr>
          <w:rStyle w:val="ad"/>
          <w:rFonts w:ascii="Times New Roman" w:eastAsia="Times New Roman" w:hAnsi="Times New Roman"/>
          <w:sz w:val="24"/>
          <w:szCs w:val="24"/>
          <w:lang w:eastAsia="ru-RU"/>
        </w:rPr>
        <w:t>http://ej.kubagro.ru/2020/05/pdf/</w:t>
      </w:r>
      <w:r w:rsidRPr="00B54E74">
        <w:rPr>
          <w:rStyle w:val="ad"/>
          <w:rFonts w:ascii="Times New Roman" w:eastAsia="Times New Roman" w:hAnsi="Times New Roman"/>
          <w:sz w:val="24"/>
          <w:szCs w:val="24"/>
          <w:lang w:val="en-US" w:eastAsia="ru-RU"/>
        </w:rPr>
        <w:t>18</w:t>
      </w:r>
      <w:r w:rsidRPr="00B54E74">
        <w:rPr>
          <w:rStyle w:val="ad"/>
          <w:rFonts w:ascii="Times New Roman" w:eastAsia="Times New Roman" w:hAnsi="Times New Roman"/>
          <w:sz w:val="24"/>
          <w:szCs w:val="24"/>
          <w:lang w:eastAsia="ru-RU"/>
        </w:rPr>
        <w:t>.pdf</w:t>
      </w:r>
    </w:hyperlink>
    <w:r>
      <w:rPr>
        <w:rFonts w:ascii="Times New Roman" w:eastAsia="Times New Roman" w:hAnsi="Times New Roman"/>
        <w:sz w:val="24"/>
        <w:szCs w:val="24"/>
        <w:lang w:val="en-US" w:eastAsia="ru-R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0D4" w:rsidRDefault="001310D4" w:rsidP="00201C21">
      <w:pPr>
        <w:spacing w:after="0" w:line="240" w:lineRule="auto"/>
      </w:pPr>
      <w:r>
        <w:separator/>
      </w:r>
    </w:p>
  </w:footnote>
  <w:footnote w:type="continuationSeparator" w:id="0">
    <w:p w:rsidR="001310D4" w:rsidRDefault="001310D4" w:rsidP="00201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36B" w:rsidRPr="000F48EA" w:rsidRDefault="000F48EA" w:rsidP="000F48EA">
    <w:pPr>
      <w:pStyle w:val="ae"/>
      <w:rPr>
        <w:rFonts w:ascii="Times New Roman" w:hAnsi="Times New Roman"/>
        <w:sz w:val="28"/>
        <w:szCs w:val="28"/>
      </w:rPr>
    </w:pPr>
    <w:r w:rsidRPr="000F48EA">
      <w:rPr>
        <w:rFonts w:ascii="Times New Roman" w:hAnsi="Times New Roman"/>
        <w:sz w:val="24"/>
        <w:szCs w:val="24"/>
      </w:rPr>
      <w:t xml:space="preserve">Научный журнал КубГАУ, №159(05), 2020 год </w:t>
    </w:r>
    <w:r>
      <w:rPr>
        <w:rFonts w:ascii="Times New Roman" w:hAnsi="Times New Roman"/>
        <w:sz w:val="24"/>
        <w:szCs w:val="24"/>
      </w:rPr>
      <w:tab/>
    </w:r>
    <w:r w:rsidR="001310D4" w:rsidRPr="000F48EA">
      <w:rPr>
        <w:rFonts w:ascii="Times New Roman" w:hAnsi="Times New Roman"/>
        <w:sz w:val="28"/>
        <w:szCs w:val="28"/>
      </w:rPr>
      <w:fldChar w:fldCharType="begin"/>
    </w:r>
    <w:r w:rsidR="001310D4" w:rsidRPr="000F48EA">
      <w:rPr>
        <w:rFonts w:ascii="Times New Roman" w:hAnsi="Times New Roman"/>
        <w:sz w:val="28"/>
        <w:szCs w:val="28"/>
      </w:rPr>
      <w:instrText xml:space="preserve"> PAGE   \* MERGEFORMAT </w:instrText>
    </w:r>
    <w:r w:rsidR="001310D4" w:rsidRPr="000F48EA">
      <w:rPr>
        <w:rFonts w:ascii="Times New Roman" w:hAnsi="Times New Roman"/>
        <w:sz w:val="28"/>
        <w:szCs w:val="28"/>
      </w:rPr>
      <w:fldChar w:fldCharType="separate"/>
    </w:r>
    <w:r w:rsidR="00F73DF0">
      <w:rPr>
        <w:rFonts w:ascii="Times New Roman" w:hAnsi="Times New Roman"/>
        <w:noProof/>
        <w:sz w:val="28"/>
        <w:szCs w:val="28"/>
      </w:rPr>
      <w:t>12</w:t>
    </w:r>
    <w:r w:rsidR="001310D4" w:rsidRPr="000F48EA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3142C"/>
    <w:multiLevelType w:val="multilevel"/>
    <w:tmpl w:val="43A0C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1DE8"/>
    <w:rsid w:val="00031CB7"/>
    <w:rsid w:val="000411EA"/>
    <w:rsid w:val="000879F8"/>
    <w:rsid w:val="000B01CC"/>
    <w:rsid w:val="000C1BA7"/>
    <w:rsid w:val="000C5A3B"/>
    <w:rsid w:val="000F48EA"/>
    <w:rsid w:val="00115BC4"/>
    <w:rsid w:val="00121C83"/>
    <w:rsid w:val="001310D4"/>
    <w:rsid w:val="0014478E"/>
    <w:rsid w:val="00145483"/>
    <w:rsid w:val="00164774"/>
    <w:rsid w:val="00182811"/>
    <w:rsid w:val="00183ED4"/>
    <w:rsid w:val="00192F3E"/>
    <w:rsid w:val="001D45D4"/>
    <w:rsid w:val="001D60B4"/>
    <w:rsid w:val="001F3F96"/>
    <w:rsid w:val="00201C21"/>
    <w:rsid w:val="00212797"/>
    <w:rsid w:val="00212CB5"/>
    <w:rsid w:val="00234BC9"/>
    <w:rsid w:val="00247827"/>
    <w:rsid w:val="00260D1D"/>
    <w:rsid w:val="00260FEB"/>
    <w:rsid w:val="00271446"/>
    <w:rsid w:val="002F1CC3"/>
    <w:rsid w:val="00334C25"/>
    <w:rsid w:val="0036192A"/>
    <w:rsid w:val="00377966"/>
    <w:rsid w:val="003A3A84"/>
    <w:rsid w:val="003E7C41"/>
    <w:rsid w:val="003F2E61"/>
    <w:rsid w:val="004139F8"/>
    <w:rsid w:val="004276D4"/>
    <w:rsid w:val="00432AAA"/>
    <w:rsid w:val="00457339"/>
    <w:rsid w:val="00482DDB"/>
    <w:rsid w:val="004A537A"/>
    <w:rsid w:val="004B3304"/>
    <w:rsid w:val="004C16DF"/>
    <w:rsid w:val="004D7B83"/>
    <w:rsid w:val="00501BD4"/>
    <w:rsid w:val="0051336B"/>
    <w:rsid w:val="005163B3"/>
    <w:rsid w:val="00564B08"/>
    <w:rsid w:val="00572F83"/>
    <w:rsid w:val="00594BAD"/>
    <w:rsid w:val="005C36E0"/>
    <w:rsid w:val="005C42EE"/>
    <w:rsid w:val="005D1EEB"/>
    <w:rsid w:val="005D5BC5"/>
    <w:rsid w:val="005F6BE4"/>
    <w:rsid w:val="006155A2"/>
    <w:rsid w:val="006304AC"/>
    <w:rsid w:val="00631862"/>
    <w:rsid w:val="00640D6C"/>
    <w:rsid w:val="006A4933"/>
    <w:rsid w:val="006D5D3D"/>
    <w:rsid w:val="006F092A"/>
    <w:rsid w:val="00752477"/>
    <w:rsid w:val="00765843"/>
    <w:rsid w:val="0078335D"/>
    <w:rsid w:val="007A334D"/>
    <w:rsid w:val="007A67F5"/>
    <w:rsid w:val="007C36B7"/>
    <w:rsid w:val="007E0AA1"/>
    <w:rsid w:val="007E336B"/>
    <w:rsid w:val="007E50AF"/>
    <w:rsid w:val="007E7828"/>
    <w:rsid w:val="0083343E"/>
    <w:rsid w:val="0086680F"/>
    <w:rsid w:val="0089749C"/>
    <w:rsid w:val="008A7F33"/>
    <w:rsid w:val="008F237E"/>
    <w:rsid w:val="008F4D18"/>
    <w:rsid w:val="00905FC5"/>
    <w:rsid w:val="009435F1"/>
    <w:rsid w:val="00960568"/>
    <w:rsid w:val="00981FAF"/>
    <w:rsid w:val="009C40D1"/>
    <w:rsid w:val="009D356B"/>
    <w:rsid w:val="009D5FA2"/>
    <w:rsid w:val="009E351B"/>
    <w:rsid w:val="009E543D"/>
    <w:rsid w:val="009F418E"/>
    <w:rsid w:val="009F5B87"/>
    <w:rsid w:val="00A02A0B"/>
    <w:rsid w:val="00A211DF"/>
    <w:rsid w:val="00A434F9"/>
    <w:rsid w:val="00A513AC"/>
    <w:rsid w:val="00A55E3F"/>
    <w:rsid w:val="00AA11B4"/>
    <w:rsid w:val="00AA2EC8"/>
    <w:rsid w:val="00AB184B"/>
    <w:rsid w:val="00AC2A9E"/>
    <w:rsid w:val="00B1081F"/>
    <w:rsid w:val="00B15DDC"/>
    <w:rsid w:val="00B22268"/>
    <w:rsid w:val="00B4377A"/>
    <w:rsid w:val="00B8697A"/>
    <w:rsid w:val="00B9147E"/>
    <w:rsid w:val="00BA302D"/>
    <w:rsid w:val="00BA7E3A"/>
    <w:rsid w:val="00BC0310"/>
    <w:rsid w:val="00BC643C"/>
    <w:rsid w:val="00BD53C8"/>
    <w:rsid w:val="00BF073F"/>
    <w:rsid w:val="00C55BDB"/>
    <w:rsid w:val="00C7053A"/>
    <w:rsid w:val="00C755D4"/>
    <w:rsid w:val="00CC2F18"/>
    <w:rsid w:val="00CD3BD6"/>
    <w:rsid w:val="00D05ECD"/>
    <w:rsid w:val="00D1365A"/>
    <w:rsid w:val="00D60220"/>
    <w:rsid w:val="00DA2996"/>
    <w:rsid w:val="00DC4A40"/>
    <w:rsid w:val="00DF11D3"/>
    <w:rsid w:val="00DF65FC"/>
    <w:rsid w:val="00E03255"/>
    <w:rsid w:val="00E200B1"/>
    <w:rsid w:val="00E26313"/>
    <w:rsid w:val="00E55895"/>
    <w:rsid w:val="00E64C91"/>
    <w:rsid w:val="00E91643"/>
    <w:rsid w:val="00E91EE5"/>
    <w:rsid w:val="00EC436D"/>
    <w:rsid w:val="00EF7FF3"/>
    <w:rsid w:val="00F61DE8"/>
    <w:rsid w:val="00F73DF0"/>
    <w:rsid w:val="00F80413"/>
    <w:rsid w:val="00F94ECF"/>
    <w:rsid w:val="00FA68D2"/>
    <w:rsid w:val="00FC3480"/>
    <w:rsid w:val="00FD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22248D21"/>
  <w15:docId w15:val="{B4A1BE32-0B1E-41A0-B5E6-DD2308E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DE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1DE8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F61DE8"/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a5">
    <w:name w:val="Основной текст_"/>
    <w:link w:val="5"/>
    <w:uiPriority w:val="99"/>
    <w:locked/>
    <w:rsid w:val="00031CB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5">
    <w:name w:val="Основной текст5"/>
    <w:basedOn w:val="a"/>
    <w:link w:val="a5"/>
    <w:uiPriority w:val="99"/>
    <w:rsid w:val="00031CB7"/>
    <w:pPr>
      <w:shd w:val="clear" w:color="auto" w:fill="FFFFFF"/>
      <w:spacing w:after="60" w:line="240" w:lineRule="atLeast"/>
    </w:pPr>
    <w:rPr>
      <w:rFonts w:ascii="Times New Roman" w:eastAsia="Times New Roman" w:hAnsi="Times New Roman"/>
      <w:sz w:val="19"/>
      <w:szCs w:val="19"/>
    </w:rPr>
  </w:style>
  <w:style w:type="character" w:customStyle="1" w:styleId="1">
    <w:name w:val="Основной текст1"/>
    <w:uiPriority w:val="99"/>
    <w:rsid w:val="00031CB7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D05EC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05ECD"/>
    <w:pPr>
      <w:shd w:val="clear" w:color="auto" w:fill="FFFFFF"/>
      <w:spacing w:before="420" w:after="0" w:line="480" w:lineRule="exact"/>
    </w:pPr>
    <w:rPr>
      <w:rFonts w:ascii="Times New Roman" w:hAnsi="Times New Roman"/>
      <w:b/>
      <w:bCs/>
      <w:sz w:val="27"/>
      <w:szCs w:val="27"/>
    </w:rPr>
  </w:style>
  <w:style w:type="character" w:customStyle="1" w:styleId="11">
    <w:name w:val="Основной текст (11)_"/>
    <w:link w:val="110"/>
    <w:uiPriority w:val="99"/>
    <w:locked/>
    <w:rsid w:val="00D60220"/>
    <w:rPr>
      <w:rFonts w:ascii="Franklin Gothic Medium" w:hAnsi="Franklin Gothic Medium" w:cs="Franklin Gothic Medium"/>
      <w:spacing w:val="30"/>
      <w:sz w:val="24"/>
      <w:szCs w:val="24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D60220"/>
    <w:pPr>
      <w:shd w:val="clear" w:color="auto" w:fill="FFFFFF"/>
      <w:spacing w:after="0" w:line="240" w:lineRule="atLeast"/>
    </w:pPr>
    <w:rPr>
      <w:rFonts w:ascii="Franklin Gothic Medium" w:hAnsi="Franklin Gothic Medium" w:cs="Franklin Gothic Medium"/>
      <w:spacing w:val="30"/>
      <w:sz w:val="24"/>
      <w:szCs w:val="24"/>
    </w:rPr>
  </w:style>
  <w:style w:type="character" w:customStyle="1" w:styleId="1pt">
    <w:name w:val="Основной текст + Интервал 1 pt"/>
    <w:uiPriority w:val="99"/>
    <w:rsid w:val="00D60220"/>
    <w:rPr>
      <w:rFonts w:ascii="Times New Roman" w:hAnsi="Times New Roman" w:cs="Times New Roman"/>
      <w:spacing w:val="30"/>
      <w:sz w:val="26"/>
      <w:szCs w:val="26"/>
    </w:rPr>
  </w:style>
  <w:style w:type="character" w:styleId="a6">
    <w:name w:val="Strong"/>
    <w:uiPriority w:val="99"/>
    <w:qFormat/>
    <w:rsid w:val="00D60220"/>
    <w:rPr>
      <w:rFonts w:cs="Times New Roman"/>
      <w:b/>
      <w:bCs/>
    </w:rPr>
  </w:style>
  <w:style w:type="paragraph" w:styleId="a7">
    <w:name w:val="List Paragraph"/>
    <w:basedOn w:val="a"/>
    <w:uiPriority w:val="99"/>
    <w:qFormat/>
    <w:rsid w:val="00D60220"/>
    <w:pPr>
      <w:ind w:left="720"/>
      <w:contextualSpacing/>
    </w:pPr>
  </w:style>
  <w:style w:type="character" w:customStyle="1" w:styleId="10">
    <w:name w:val="Основной текст Знак1"/>
    <w:link w:val="a8"/>
    <w:uiPriority w:val="99"/>
    <w:locked/>
    <w:rsid w:val="007E0AA1"/>
    <w:rPr>
      <w:rFonts w:ascii="Times New Roman" w:hAnsi="Times New Roman" w:cs="Times New Roman"/>
      <w:sz w:val="26"/>
      <w:szCs w:val="26"/>
    </w:rPr>
  </w:style>
  <w:style w:type="paragraph" w:styleId="a8">
    <w:name w:val="Body Text"/>
    <w:basedOn w:val="a"/>
    <w:link w:val="10"/>
    <w:uiPriority w:val="99"/>
    <w:rsid w:val="007E0AA1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6"/>
    </w:rPr>
  </w:style>
  <w:style w:type="character" w:customStyle="1" w:styleId="BodyTextChar1">
    <w:name w:val="Body Text Char1"/>
    <w:uiPriority w:val="99"/>
    <w:semiHidden/>
    <w:rsid w:val="00C62BDF"/>
    <w:rPr>
      <w:lang w:val="ru-RU"/>
    </w:rPr>
  </w:style>
  <w:style w:type="character" w:customStyle="1" w:styleId="a9">
    <w:name w:val="Основной текст Знак"/>
    <w:uiPriority w:val="99"/>
    <w:semiHidden/>
    <w:rsid w:val="007E0AA1"/>
    <w:rPr>
      <w:rFonts w:cs="Times New Roman"/>
    </w:rPr>
  </w:style>
  <w:style w:type="character" w:customStyle="1" w:styleId="71pt">
    <w:name w:val="Основной текст (7) + Интервал 1 pt"/>
    <w:uiPriority w:val="99"/>
    <w:rsid w:val="00EC436D"/>
    <w:rPr>
      <w:rFonts w:ascii="Times New Roman" w:hAnsi="Times New Roman" w:cs="Times New Roman"/>
      <w:spacing w:val="20"/>
      <w:sz w:val="30"/>
      <w:szCs w:val="30"/>
      <w:u w:val="none"/>
      <w:effect w:val="none"/>
      <w:shd w:val="clear" w:color="auto" w:fill="FFFFFF"/>
    </w:rPr>
  </w:style>
  <w:style w:type="table" w:styleId="aa">
    <w:name w:val="Table Grid"/>
    <w:basedOn w:val="a1"/>
    <w:uiPriority w:val="99"/>
    <w:rsid w:val="00EC4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432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432AAA"/>
    <w:rPr>
      <w:rFonts w:ascii="Segoe UI" w:hAnsi="Segoe UI" w:cs="Segoe UI"/>
      <w:sz w:val="18"/>
      <w:szCs w:val="18"/>
    </w:rPr>
  </w:style>
  <w:style w:type="character" w:customStyle="1" w:styleId="110pt">
    <w:name w:val="Основной текст (11) + Интервал 0 pt"/>
    <w:uiPriority w:val="99"/>
    <w:rsid w:val="00640D6C"/>
    <w:rPr>
      <w:rFonts w:ascii="Times New Roman" w:hAnsi="Times New Roman" w:cs="Times New Roman"/>
      <w:spacing w:val="-10"/>
      <w:sz w:val="24"/>
      <w:szCs w:val="24"/>
      <w:shd w:val="clear" w:color="auto" w:fill="FFFFFF"/>
    </w:rPr>
  </w:style>
  <w:style w:type="character" w:customStyle="1" w:styleId="50">
    <w:name w:val="Основной текст (5)_"/>
    <w:link w:val="51"/>
    <w:uiPriority w:val="99"/>
    <w:locked/>
    <w:rsid w:val="0089749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1">
    <w:name w:val="Основной текст (5)"/>
    <w:basedOn w:val="a"/>
    <w:link w:val="50"/>
    <w:uiPriority w:val="99"/>
    <w:rsid w:val="0089749C"/>
    <w:pPr>
      <w:shd w:val="clear" w:color="auto" w:fill="FFFFFF"/>
      <w:spacing w:after="0" w:line="480" w:lineRule="exact"/>
    </w:pPr>
    <w:rPr>
      <w:rFonts w:ascii="Times New Roman" w:hAnsi="Times New Roman"/>
      <w:sz w:val="27"/>
      <w:szCs w:val="27"/>
    </w:rPr>
  </w:style>
  <w:style w:type="character" w:customStyle="1" w:styleId="8">
    <w:name w:val="Основной текст (8)_"/>
    <w:link w:val="80"/>
    <w:uiPriority w:val="99"/>
    <w:locked/>
    <w:rsid w:val="0089749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89749C"/>
    <w:pPr>
      <w:shd w:val="clear" w:color="auto" w:fill="FFFFFF"/>
      <w:spacing w:after="0" w:line="240" w:lineRule="atLeast"/>
    </w:pPr>
    <w:rPr>
      <w:rFonts w:ascii="Times New Roman" w:hAnsi="Times New Roman"/>
      <w:sz w:val="26"/>
      <w:szCs w:val="26"/>
    </w:rPr>
  </w:style>
  <w:style w:type="character" w:styleId="ad">
    <w:name w:val="Hyperlink"/>
    <w:uiPriority w:val="99"/>
    <w:rsid w:val="00BC0310"/>
    <w:rPr>
      <w:rFonts w:cs="Times New Roman"/>
      <w:color w:val="0000FF"/>
      <w:u w:val="single"/>
    </w:rPr>
  </w:style>
  <w:style w:type="character" w:customStyle="1" w:styleId="tlid-translation">
    <w:name w:val="tlid-translation"/>
    <w:uiPriority w:val="99"/>
    <w:rsid w:val="00BC0310"/>
    <w:rPr>
      <w:rFonts w:cs="Times New Roman"/>
    </w:rPr>
  </w:style>
  <w:style w:type="paragraph" w:styleId="ae">
    <w:name w:val="header"/>
    <w:basedOn w:val="a"/>
    <w:link w:val="af"/>
    <w:uiPriority w:val="99"/>
    <w:rsid w:val="00201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link w:val="ae"/>
    <w:uiPriority w:val="99"/>
    <w:locked/>
    <w:rsid w:val="00201C2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31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vano@yandex.ru" TargetMode="External"/><Relationship Id="rId13" Type="http://schemas.openxmlformats.org/officeDocument/2006/relationships/hyperlink" Target="http://dx.doi.org/10.21515/1990-4665-159-018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j.kubagro.ru/viewras.asp?id=112" TargetMode="External"/><Relationship Id="rId12" Type="http://schemas.openxmlformats.org/officeDocument/2006/relationships/hyperlink" Target="mailto:zelenkovalex@rambler.ru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ej.kubagro.ru/2014/03/pdf/30.pd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library.ru/author_info.asp?isold=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library.ru/item.asp?id=30417722" TargetMode="External"/><Relationship Id="rId10" Type="http://schemas.openxmlformats.org/officeDocument/2006/relationships/hyperlink" Target="mailto:zelenkovalex@rambler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library.ru/author_info.asp?isold=1" TargetMode="External"/><Relationship Id="rId14" Type="http://schemas.openxmlformats.org/officeDocument/2006/relationships/hyperlink" Target="http://ej.kubagro.ru/2014/03/pdf/30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5/pdf/1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12</Pages>
  <Words>3308</Words>
  <Characters>18860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</dc:creator>
  <cp:keywords/>
  <dc:description/>
  <cp:lastModifiedBy>SEVERUS</cp:lastModifiedBy>
  <cp:revision>52</cp:revision>
  <cp:lastPrinted>2020-04-26T19:52:00Z</cp:lastPrinted>
  <dcterms:created xsi:type="dcterms:W3CDTF">2020-04-25T09:52:00Z</dcterms:created>
  <dcterms:modified xsi:type="dcterms:W3CDTF">2020-06-04T21:46:00Z</dcterms:modified>
</cp:coreProperties>
</file>