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74"/>
        <w:gridCol w:w="4712"/>
      </w:tblGrid>
      <w:tr w:rsidR="00F4265C" w:rsidRPr="003F54C4" w:rsidTr="007F22E9">
        <w:tc>
          <w:tcPr>
            <w:tcW w:w="4643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F54C4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УДК 343.98</w:t>
            </w:r>
          </w:p>
        </w:tc>
        <w:tc>
          <w:tcPr>
            <w:tcW w:w="4821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UDC</w:t>
            </w:r>
            <w:r w:rsidRPr="003F54C4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 343.98</w:t>
            </w:r>
          </w:p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</w:tr>
      <w:tr w:rsidR="00F4265C" w:rsidRPr="003F54C4" w:rsidTr="007F22E9">
        <w:tc>
          <w:tcPr>
            <w:tcW w:w="4643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3F54C4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12.00.00 Юридически</w:t>
            </w:r>
            <w:r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е</w:t>
            </w:r>
            <w:r w:rsidRPr="003F54C4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 науки</w:t>
            </w:r>
          </w:p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821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Legal sciences</w:t>
            </w:r>
          </w:p>
        </w:tc>
      </w:tr>
      <w:tr w:rsidR="00F4265C" w:rsidRPr="003F54C4" w:rsidTr="007F22E9">
        <w:tc>
          <w:tcPr>
            <w:tcW w:w="4643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F54C4">
              <w:rPr>
                <w:rFonts w:ascii="Times New Roman" w:hAnsi="Times New Roman"/>
                <w:b/>
                <w:sz w:val="20"/>
                <w:szCs w:val="20"/>
              </w:rPr>
              <w:t>О КРИМИНАЛИСТИЧЕСКОЙ КЛАССИФИКАЦИИ ПРЕСТУПЛЕНИЙ ПРОТИВ СЕМЬИ И НЕСОВЕРШЕННОЛЕТНИХ</w:t>
            </w:r>
          </w:p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21" w:type="dxa"/>
          </w:tcPr>
          <w:p w:rsidR="00F4265C" w:rsidRPr="003F54C4" w:rsidRDefault="00F4265C" w:rsidP="00D56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-Roman" w:hAnsi="Times New Roman"/>
                <w:b/>
                <w:sz w:val="20"/>
                <w:szCs w:val="20"/>
                <w:lang w:val="en-US" w:eastAsia="ru-RU"/>
              </w:rPr>
            </w:pPr>
            <w:r w:rsidRPr="003F54C4">
              <w:rPr>
                <w:rFonts w:ascii="Times New Roman" w:eastAsia="Times-Roman" w:hAnsi="Times New Roman"/>
                <w:b/>
                <w:sz w:val="20"/>
                <w:szCs w:val="20"/>
                <w:lang w:val="en-US" w:eastAsia="ru-RU"/>
              </w:rPr>
              <w:t>ABOUT CRIMINALISTIC CLASSIFICATION OF THE CRIMES AGAINST FAMILY AND MINORS</w:t>
            </w:r>
          </w:p>
        </w:tc>
      </w:tr>
      <w:tr w:rsidR="00F4265C" w:rsidRPr="00D56E40" w:rsidTr="007F22E9">
        <w:tc>
          <w:tcPr>
            <w:tcW w:w="4643" w:type="dxa"/>
          </w:tcPr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D56E40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Куемжиева Светлана Александровна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56E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кандидат юридических наук, профессор, декан юридического факультета 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i/>
                <w:sz w:val="20"/>
                <w:szCs w:val="20"/>
                <w:lang w:eastAsia="ru-RU"/>
              </w:rPr>
            </w:pPr>
            <w:r w:rsidRPr="00D56E40">
              <w:rPr>
                <w:rFonts w:ascii="Times New Roman" w:eastAsia="Times-Roman" w:hAnsi="Times New Roman"/>
                <w:i/>
                <w:sz w:val="20"/>
                <w:szCs w:val="20"/>
                <w:lang w:eastAsia="ru-RU"/>
              </w:rPr>
              <w:t>Кубанский государственный агарный университет, Краснодар, Россия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1" w:type="dxa"/>
          </w:tcPr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D56E40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Kuyemzhiyeva Svetlana Aleksandrovna 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D56E40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candidate of law, professor, dean of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L</w:t>
            </w:r>
            <w:r w:rsidRPr="00D56E40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aw department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D56E40">
              <w:rPr>
                <w:rFonts w:ascii="Times New Roman" w:eastAsia="Times-Roman" w:hAnsi="Times New Roman"/>
                <w:i/>
                <w:sz w:val="20"/>
                <w:szCs w:val="20"/>
                <w:lang w:val="en-US" w:eastAsia="ru-RU"/>
              </w:rPr>
              <w:t>Kuban state agricultural university, Krasnodar, Russia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F4265C" w:rsidRPr="003F54C4" w:rsidTr="007F22E9">
        <w:tc>
          <w:tcPr>
            <w:tcW w:w="4643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3F54C4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В статье рассмотрены основные вопросы криминалистической классификации преступлений против семьи и несовершеннолетних. Исследованы признаки уголовно-правового и криминалистического характера, на основе которых осуществляется классификация</w:t>
            </w:r>
          </w:p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1" w:type="dxa"/>
          </w:tcPr>
          <w:p w:rsidR="00F4265C" w:rsidRPr="003F54C4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The article describes the main problems of criminalistic classification of crimes against family and minors.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There were</w:t>
            </w: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 investigated the characteristics of criminal law and criminal nature,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which is </w:t>
            </w: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the basis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for </w:t>
            </w:r>
            <w:r w:rsidRPr="003F54C4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the classification</w:t>
            </w:r>
          </w:p>
        </w:tc>
      </w:tr>
      <w:tr w:rsidR="00F4265C" w:rsidRPr="00D56E40" w:rsidTr="007F22E9">
        <w:tc>
          <w:tcPr>
            <w:tcW w:w="4643" w:type="dxa"/>
          </w:tcPr>
          <w:p w:rsidR="00F4265C" w:rsidRPr="00D56E40" w:rsidRDefault="00F4265C" w:rsidP="00D56E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56E4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ПРЕСТУПЛЕНИЯ ПРОТИВ СЕМЬИ И НЕСОВЕРШЕННОЛЕТНИХ; КРИМИНАЛИСТИЧЕСКАЯ КЛАССИФИКАЦИЯ; УГОЛОВНО-ПРАВОВЫЕ ПРИЗНАКИ; РАССЛЕДОВАНИЕ ПРЕСТУПЛЕНИЙ</w:t>
            </w: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</w:p>
          <w:p w:rsidR="00F4265C" w:rsidRPr="00D56E40" w:rsidRDefault="00F4265C" w:rsidP="00D56E40">
            <w:pPr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D56E40">
              <w:rPr>
                <w:rFonts w:ascii="Arial" w:hAnsi="Arial" w:cs="Arial"/>
                <w:b/>
                <w:sz w:val="20"/>
                <w:szCs w:val="20"/>
              </w:rPr>
              <w:t>Doi: 10.21515/1990-4665-131-06</w:t>
            </w:r>
            <w:r w:rsidRPr="00D56E40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4821" w:type="dxa"/>
          </w:tcPr>
          <w:p w:rsidR="00F4265C" w:rsidRPr="00D56E40" w:rsidRDefault="00F4265C" w:rsidP="00D56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Key</w:t>
            </w:r>
            <w:r w:rsidRPr="00D56E40"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words: CRIMES AGAINST FAMILY AND MINORS; CLASSIFICATION OF CRIME; CRIMINAL CHARACTERISTICS; INVESTIGAT</w:t>
            </w:r>
            <w:r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ION OF</w:t>
            </w:r>
            <w:r w:rsidRPr="00D56E40"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 xml:space="preserve"> CRIMES</w:t>
            </w:r>
          </w:p>
        </w:tc>
      </w:tr>
    </w:tbl>
    <w:p w:rsidR="00F4265C" w:rsidRPr="008315F8" w:rsidRDefault="00F4265C">
      <w:pPr>
        <w:rPr>
          <w:rFonts w:ascii="Times New Roman" w:hAnsi="Times New Roman"/>
          <w:sz w:val="28"/>
          <w:szCs w:val="28"/>
          <w:lang w:val="en-US"/>
        </w:rPr>
      </w:pP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Криминалистическая классификация преступлений является важным условием рационального познания преступления, его отражения в форме следов и иных фактических данных, предпосылкой проведения качественного расследования.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и практика расследования строится на уголовно – правовой классификации преступлений, зафиксированной в уголовном кодексе. Преступления распределены по главам кодекса в зависимости от объекта преступного посягательства, что необходимо и вполне обоснованно. Однако такое распределение не всегда обеспечивает потребности криминалистики и практики расследования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>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проблем классификации преступлений привело ученых к единственному правильному выводу о том, что для объективного и верного разрешения последних имеют значение как уголовно – правовая, так и криминалистическая характеристика преступлений. При этом криминалистическая классификация обязательно должна учитывать уголовно – правовую характеристику преступления. Это, на наш взгляд, принципиальное положение теории криминалистической классификации: сочетание уголовно – правовых и криминалистических признаков преступления и процесса его расследования.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исследования вопросов криминалистической классификации преступлений сложились разные подходы к разрешению существующих проблем. В системы классификации включаются подсистемы, основанные на учете комплекса внешних факторов, но закономерно связанных с системами совершения преступлений и их расследования. В отдельных случаях сам вид классификации может в незначительной степени учитывать уголовно – правовую характеристику преступления, основываясь на криминалистических особенностях расследования.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криминалистической классификации преступлений против семьи и несовершеннолетних предопределяет  необходимость изучения элементов уголовно – правового и криминалистического характера совершения преступления, его отражение в реальной действительности и содержание процесса расследования указанной группы преступлений.            С целью обоснования классификации указанных преступлений рассмотрим объект и предмет преступного посягательства; личность потерпевшего; способы и средства охраны непосредственного предмета преступного посягательства; способы совершения и сокрытия преступления; субъект преступления; типичные следы и иные фактические данные (характеристику отражения преступления в окружающей среде); сочетание следственных и иных действий.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основании изложенных общих положений криминалистической классификации преступлений попытаемся рассмотреть проблемы криминалистической классификации преступлений против семьи и несовершеннолетних.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Уголовный кодекс Российской Федерации</w:t>
      </w:r>
      <w:r>
        <w:rPr>
          <w:rFonts w:ascii="Times New Roman" w:hAnsi="Times New Roman"/>
          <w:spacing w:val="-3"/>
          <w:sz w:val="28"/>
          <w:szCs w:val="28"/>
        </w:rPr>
        <w:t xml:space="preserve"> выделяет нормы о преступлениях против семьи и несовершеннолетних </w:t>
      </w:r>
      <w:r>
        <w:rPr>
          <w:rFonts w:ascii="Times New Roman" w:hAnsi="Times New Roman"/>
          <w:spacing w:val="-4"/>
          <w:sz w:val="28"/>
          <w:szCs w:val="28"/>
        </w:rPr>
        <w:t>в специальную 20 главу. При ее формировании законода</w:t>
      </w:r>
      <w:r>
        <w:rPr>
          <w:rFonts w:ascii="Times New Roman" w:hAnsi="Times New Roman"/>
          <w:spacing w:val="-4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 xml:space="preserve">тель исходил из логической взаимосвязи объединяемой группы преступлений </w:t>
      </w:r>
      <w:r>
        <w:rPr>
          <w:rFonts w:ascii="Times New Roman" w:hAnsi="Times New Roman"/>
          <w:spacing w:val="-3"/>
          <w:sz w:val="28"/>
          <w:szCs w:val="28"/>
        </w:rPr>
        <w:t xml:space="preserve">на принципах общности охраняемого комплекса общественных отношений, </w:t>
      </w:r>
      <w:r>
        <w:rPr>
          <w:rFonts w:ascii="Times New Roman" w:hAnsi="Times New Roman"/>
          <w:spacing w:val="-4"/>
          <w:sz w:val="28"/>
          <w:szCs w:val="28"/>
        </w:rPr>
        <w:t xml:space="preserve">складывающихся по поводу охраны семьи, законных прав родителей, нормального физического и нравственного развития несовершеннолетних детей.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непосредственного объекта преступления против семьи и несовершеннолетних подразделяются на две группы:</w:t>
      </w:r>
    </w:p>
    <w:p w:rsidR="00F4265C" w:rsidRPr="005E6425" w:rsidRDefault="00F4265C" w:rsidP="000109D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6425">
        <w:rPr>
          <w:rFonts w:ascii="Times New Roman" w:hAnsi="Times New Roman"/>
          <w:sz w:val="28"/>
          <w:szCs w:val="28"/>
        </w:rPr>
        <w:t>преступления против семьи (ст. 153, 154, 155, 157 УК РФ);</w:t>
      </w:r>
    </w:p>
    <w:p w:rsidR="00F4265C" w:rsidRPr="005E6425" w:rsidRDefault="00F4265C" w:rsidP="000109D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6425">
        <w:rPr>
          <w:rFonts w:ascii="Times New Roman" w:hAnsi="Times New Roman"/>
          <w:sz w:val="28"/>
          <w:szCs w:val="28"/>
        </w:rPr>
        <w:t>преступления против несовершеннолетних (ст. 150, 151, 156 УК РФ)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Pr="005E64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4265C" w:rsidRPr="00A36E5F" w:rsidRDefault="00F4265C" w:rsidP="00A36E5F">
      <w:pPr>
        <w:shd w:val="clear" w:color="auto" w:fill="FFFFFF"/>
        <w:spacing w:before="5" w:line="480" w:lineRule="exact"/>
        <w:ind w:left="14" w:right="14" w:firstLine="710"/>
        <w:jc w:val="both"/>
        <w:rPr>
          <w:rFonts w:ascii="Times New Roman" w:hAnsi="Times New Roman"/>
        </w:rPr>
      </w:pPr>
      <w:r w:rsidRPr="00A36E5F">
        <w:rPr>
          <w:rFonts w:ascii="Times New Roman" w:hAnsi="Times New Roman"/>
          <w:sz w:val="28"/>
          <w:szCs w:val="28"/>
        </w:rPr>
        <w:t xml:space="preserve">Иной подход к решению проблемы классификации преступлений против семьи и несовершеннолетних предложен А. А. Магомедовым, </w:t>
      </w:r>
      <w:r>
        <w:rPr>
          <w:rFonts w:ascii="Times New Roman" w:hAnsi="Times New Roman"/>
          <w:sz w:val="28"/>
          <w:szCs w:val="28"/>
        </w:rPr>
        <w:t>полагающим,</w:t>
      </w:r>
      <w:r w:rsidRPr="00A36E5F">
        <w:rPr>
          <w:rFonts w:ascii="Times New Roman" w:hAnsi="Times New Roman"/>
          <w:spacing w:val="-1"/>
          <w:sz w:val="28"/>
          <w:szCs w:val="28"/>
        </w:rPr>
        <w:t xml:space="preserve"> что все преступления гл</w:t>
      </w:r>
      <w:r>
        <w:rPr>
          <w:rFonts w:ascii="Times New Roman" w:hAnsi="Times New Roman"/>
          <w:spacing w:val="-1"/>
          <w:sz w:val="28"/>
          <w:szCs w:val="28"/>
        </w:rPr>
        <w:t xml:space="preserve">авы </w:t>
      </w:r>
      <w:r w:rsidRPr="00A36E5F">
        <w:rPr>
          <w:rFonts w:ascii="Times New Roman" w:hAnsi="Times New Roman"/>
          <w:spacing w:val="-1"/>
          <w:sz w:val="28"/>
          <w:szCs w:val="28"/>
        </w:rPr>
        <w:t xml:space="preserve"> 20 </w:t>
      </w:r>
      <w:r>
        <w:rPr>
          <w:rFonts w:ascii="Times New Roman" w:hAnsi="Times New Roman"/>
          <w:spacing w:val="-1"/>
          <w:sz w:val="28"/>
          <w:szCs w:val="28"/>
        </w:rPr>
        <w:t xml:space="preserve">СК РФ </w:t>
      </w:r>
      <w:r w:rsidRPr="00A36E5F">
        <w:rPr>
          <w:rFonts w:ascii="Times New Roman" w:hAnsi="Times New Roman"/>
          <w:spacing w:val="-1"/>
          <w:sz w:val="28"/>
          <w:szCs w:val="28"/>
        </w:rPr>
        <w:t xml:space="preserve">«посягают по общему правилу и </w:t>
      </w:r>
      <w:r w:rsidRPr="00A36E5F">
        <w:rPr>
          <w:rFonts w:ascii="Times New Roman" w:hAnsi="Times New Roman"/>
          <w:sz w:val="28"/>
          <w:szCs w:val="28"/>
        </w:rPr>
        <w:t>на интересы несовершеннолетнего, и на интересы семьи». Он подразделяет их  на  две   группы:   преступления,   связанные  с   нарушением  интересов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36E5F">
        <w:rPr>
          <w:rFonts w:ascii="Times New Roman" w:hAnsi="Times New Roman"/>
          <w:spacing w:val="-1"/>
          <w:sz w:val="28"/>
          <w:szCs w:val="28"/>
        </w:rPr>
        <w:t xml:space="preserve">воспитания несовершеннолетнего путем непосредственного вовлечения его в </w:t>
      </w:r>
      <w:r w:rsidRPr="00A36E5F">
        <w:rPr>
          <w:rFonts w:ascii="Times New Roman" w:hAnsi="Times New Roman"/>
          <w:spacing w:val="-2"/>
          <w:sz w:val="28"/>
          <w:szCs w:val="28"/>
        </w:rPr>
        <w:t xml:space="preserve">совершение   уголовно   наказуемых   и   иных   антиобщественных   действий </w:t>
      </w:r>
      <w:r w:rsidRPr="00A36E5F">
        <w:rPr>
          <w:rFonts w:ascii="Times New Roman" w:hAnsi="Times New Roman"/>
          <w:sz w:val="28"/>
          <w:szCs w:val="28"/>
        </w:rPr>
        <w:t>(ст. 150-151</w:t>
      </w:r>
      <w:r>
        <w:rPr>
          <w:rFonts w:ascii="Times New Roman" w:hAnsi="Times New Roman"/>
          <w:sz w:val="28"/>
          <w:szCs w:val="28"/>
        </w:rPr>
        <w:t>УК РФ</w:t>
      </w:r>
      <w:r w:rsidRPr="00A36E5F">
        <w:rPr>
          <w:rFonts w:ascii="Times New Roman" w:hAnsi="Times New Roman"/>
          <w:sz w:val="28"/>
          <w:szCs w:val="28"/>
        </w:rPr>
        <w:t xml:space="preserve">)    и     преступления,     связанные     с     причинением     вреда </w:t>
      </w:r>
      <w:r w:rsidRPr="00A36E5F">
        <w:rPr>
          <w:rFonts w:ascii="Times New Roman" w:hAnsi="Times New Roman"/>
          <w:spacing w:val="-2"/>
          <w:sz w:val="28"/>
          <w:szCs w:val="28"/>
        </w:rPr>
        <w:t>несовершеннолетнему или интересам семьи в целом (ст. 153-157</w:t>
      </w:r>
      <w:r>
        <w:rPr>
          <w:rFonts w:ascii="Times New Roman" w:hAnsi="Times New Roman"/>
          <w:spacing w:val="-2"/>
          <w:sz w:val="28"/>
          <w:szCs w:val="28"/>
        </w:rPr>
        <w:t xml:space="preserve"> УК РФ</w:t>
      </w:r>
      <w:r w:rsidRPr="00A36E5F">
        <w:rPr>
          <w:rFonts w:ascii="Times New Roman" w:hAnsi="Times New Roman"/>
          <w:spacing w:val="-2"/>
          <w:sz w:val="28"/>
          <w:szCs w:val="28"/>
        </w:rPr>
        <w:t>).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36E5F">
        <w:rPr>
          <w:rFonts w:ascii="Times New Roman" w:hAnsi="Times New Roman"/>
          <w:sz w:val="28"/>
          <w:szCs w:val="28"/>
        </w:rPr>
        <w:t xml:space="preserve">Несколько иную градацию преступлений против семьи и несовершеннолетних предлагают А. Г. Кибальник и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36E5F">
        <w:rPr>
          <w:rFonts w:ascii="Times New Roman" w:hAnsi="Times New Roman"/>
          <w:sz w:val="28"/>
          <w:szCs w:val="28"/>
        </w:rPr>
        <w:t xml:space="preserve">И.Г. Соломоненко. Определяя критерием классификации основной непосредственный объект, </w:t>
      </w:r>
      <w:r w:rsidRPr="00A36E5F">
        <w:rPr>
          <w:rFonts w:ascii="Times New Roman" w:hAnsi="Times New Roman"/>
          <w:spacing w:val="-1"/>
          <w:sz w:val="28"/>
          <w:szCs w:val="28"/>
        </w:rPr>
        <w:t xml:space="preserve">они выделяют преступления, направленные против нормального физического </w:t>
      </w:r>
      <w:r w:rsidRPr="00A36E5F">
        <w:rPr>
          <w:rFonts w:ascii="Times New Roman" w:hAnsi="Times New Roman"/>
          <w:sz w:val="28"/>
          <w:szCs w:val="28"/>
        </w:rPr>
        <w:t xml:space="preserve">и нравственного развития несовершеннолетних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A36E5F">
        <w:rPr>
          <w:rFonts w:ascii="Times New Roman" w:hAnsi="Times New Roman"/>
          <w:sz w:val="28"/>
          <w:szCs w:val="28"/>
        </w:rPr>
        <w:t>(ст. 150-151</w:t>
      </w:r>
      <w:r>
        <w:rPr>
          <w:rFonts w:ascii="Times New Roman" w:hAnsi="Times New Roman"/>
          <w:sz w:val="28"/>
          <w:szCs w:val="28"/>
        </w:rPr>
        <w:t xml:space="preserve"> УК РФ</w:t>
      </w:r>
      <w:r w:rsidRPr="00A36E5F">
        <w:rPr>
          <w:rFonts w:ascii="Times New Roman" w:hAnsi="Times New Roman"/>
          <w:sz w:val="28"/>
          <w:szCs w:val="28"/>
        </w:rPr>
        <w:t>); преступления против прав и интересов несовершеннолетних и иных лиц в сфере семейных отношений (ст. 153-157</w:t>
      </w:r>
      <w:r>
        <w:rPr>
          <w:rFonts w:ascii="Times New Roman" w:hAnsi="Times New Roman"/>
          <w:sz w:val="28"/>
          <w:szCs w:val="28"/>
        </w:rPr>
        <w:t xml:space="preserve"> УК РФ</w:t>
      </w:r>
      <w:r w:rsidRPr="00A36E5F">
        <w:rPr>
          <w:rFonts w:ascii="Times New Roman" w:hAnsi="Times New Roman"/>
          <w:sz w:val="28"/>
          <w:szCs w:val="28"/>
        </w:rPr>
        <w:t>)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 w:rsidRPr="00A36E5F">
        <w:rPr>
          <w:rFonts w:ascii="Times New Roman" w:hAnsi="Times New Roman"/>
          <w:sz w:val="28"/>
          <w:szCs w:val="28"/>
        </w:rPr>
        <w:t>.</w:t>
      </w:r>
    </w:p>
    <w:p w:rsidR="00F4265C" w:rsidRDefault="00F4265C" w:rsidP="008710EB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По нашему мнению, подобное деление представляется несколько условным, поскольку  преступления, объединенные главой 20 УК РФ, в той или иной степени направлены на нарушение общности интересов как непосредственно несовер</w:t>
      </w:r>
      <w:r>
        <w:rPr>
          <w:rFonts w:ascii="Times New Roman" w:hAnsi="Times New Roman"/>
          <w:spacing w:val="-3"/>
          <w:sz w:val="28"/>
          <w:szCs w:val="28"/>
        </w:rPr>
        <w:softHyphen/>
        <w:t xml:space="preserve">шеннолетнего, так и его семьи в целом. </w:t>
      </w:r>
      <w:r>
        <w:rPr>
          <w:rFonts w:ascii="Times New Roman" w:hAnsi="Times New Roman"/>
          <w:spacing w:val="-4"/>
          <w:sz w:val="28"/>
          <w:szCs w:val="28"/>
        </w:rPr>
        <w:t xml:space="preserve">Объединение  под единой охраной прав и </w:t>
      </w:r>
      <w:r>
        <w:rPr>
          <w:rFonts w:ascii="Times New Roman" w:hAnsi="Times New Roman"/>
          <w:spacing w:val="-3"/>
          <w:sz w:val="28"/>
          <w:szCs w:val="28"/>
        </w:rPr>
        <w:t>законных интересов несовершеннолетнего как личности и государственных   га</w:t>
      </w:r>
      <w:r>
        <w:rPr>
          <w:rFonts w:ascii="Times New Roman" w:hAnsi="Times New Roman"/>
          <w:spacing w:val="-3"/>
          <w:sz w:val="28"/>
          <w:szCs w:val="28"/>
        </w:rPr>
        <w:softHyphen/>
        <w:t xml:space="preserve">рантий, предоставляемых семье, как социально-правовому институту, представляется целесообразным и последовательным. </w:t>
      </w:r>
    </w:p>
    <w:p w:rsidR="00F4265C" w:rsidRPr="00E448E7" w:rsidRDefault="00F4265C" w:rsidP="008710EB">
      <w:pPr>
        <w:spacing w:after="0" w:line="360" w:lineRule="auto"/>
        <w:ind w:firstLine="709"/>
        <w:jc w:val="both"/>
        <w:rPr>
          <w:color w:val="FF0000"/>
        </w:rPr>
      </w:pPr>
      <w:r>
        <w:rPr>
          <w:rFonts w:ascii="Times New Roman" w:hAnsi="Times New Roman"/>
          <w:sz w:val="28"/>
          <w:szCs w:val="28"/>
        </w:rPr>
        <w:t>Отметим также, что уголовное законодательство предусматривает ряд других преступлений, направленных на нормальное физическое и нравственное развитие несовершеннолетних (ст. 134, п. «б» ч.2 ст. 127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, ст. 117 УК РФ). Так, по мнению И. Н. Туктаровой относительно классификации преступлений против семьи и несовершеннолетних, последние  могут быть подразделены </w:t>
      </w:r>
      <w:r w:rsidRPr="00826048">
        <w:rPr>
          <w:rFonts w:ascii="Times New Roman" w:hAnsi="Times New Roman"/>
          <w:spacing w:val="-1"/>
          <w:sz w:val="28"/>
          <w:szCs w:val="28"/>
        </w:rPr>
        <w:t xml:space="preserve">на три </w:t>
      </w:r>
      <w:r w:rsidRPr="00826048">
        <w:rPr>
          <w:rFonts w:ascii="Times New Roman" w:hAnsi="Times New Roman"/>
          <w:sz w:val="28"/>
          <w:szCs w:val="28"/>
        </w:rPr>
        <w:t xml:space="preserve">группы: преступления против жизни, здоровья и нормального физического развития несовершеннолетних; преступления против половой </w:t>
      </w:r>
      <w:r w:rsidRPr="00826048">
        <w:rPr>
          <w:rFonts w:ascii="Times New Roman" w:hAnsi="Times New Roman"/>
          <w:spacing w:val="-1"/>
          <w:sz w:val="28"/>
          <w:szCs w:val="28"/>
        </w:rPr>
        <w:t>неприкосновенности и нормального полового развития несовершеннолетних</w:t>
      </w:r>
      <w:r>
        <w:rPr>
          <w:rFonts w:ascii="Times New Roman" w:hAnsi="Times New Roman"/>
          <w:spacing w:val="-1"/>
          <w:sz w:val="28"/>
          <w:szCs w:val="28"/>
        </w:rPr>
        <w:t>;</w:t>
      </w:r>
      <w:r w:rsidRPr="008260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26048">
        <w:rPr>
          <w:rFonts w:ascii="Times New Roman" w:hAnsi="Times New Roman"/>
          <w:sz w:val="28"/>
          <w:szCs w:val="28"/>
        </w:rPr>
        <w:t>иные преступления против интересов несовершеннолетних и их духовно-нравственного развития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 w:rsidRPr="00826048">
        <w:rPr>
          <w:rFonts w:ascii="Times New Roman" w:hAnsi="Times New Roman"/>
          <w:sz w:val="28"/>
          <w:szCs w:val="28"/>
        </w:rPr>
        <w:t>.</w:t>
      </w:r>
      <w:r w:rsidRPr="004373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Законодательство ряда стран относят преступления против половой неприкосновенности к преступлениям против семьи и несовершеннолетних.  </w:t>
      </w:r>
      <w:r w:rsidRPr="00B71535">
        <w:rPr>
          <w:rFonts w:ascii="Times New Roman" w:hAnsi="Times New Roman"/>
          <w:spacing w:val="-2"/>
          <w:sz w:val="28"/>
          <w:szCs w:val="28"/>
        </w:rPr>
        <w:t xml:space="preserve">Так, в УК Узбекистана </w:t>
      </w:r>
      <w:r w:rsidRPr="00B71535">
        <w:rPr>
          <w:rFonts w:ascii="Times New Roman" w:hAnsi="Times New Roman"/>
          <w:sz w:val="28"/>
          <w:szCs w:val="28"/>
        </w:rPr>
        <w:t xml:space="preserve">статьи, предусматривающие ответственность за преступления против нравственности: вступление в половую связь с лицом, не достигшим шестнадцати лет; развратные действия в отношении лица, не достигшего шестнадцати лет, изготовление или распространение порнографических предметов; содержание притонов или сводничество, изъятие органов или тканей человека  </w:t>
      </w:r>
      <w:r w:rsidRPr="00B71535">
        <w:rPr>
          <w:rFonts w:ascii="Times New Roman" w:hAnsi="Times New Roman"/>
          <w:spacing w:val="-4"/>
          <w:sz w:val="28"/>
          <w:szCs w:val="28"/>
        </w:rPr>
        <w:t xml:space="preserve"> включены   в   главу  </w:t>
      </w:r>
      <w:r w:rsidRPr="00B71535">
        <w:rPr>
          <w:rFonts w:ascii="Times New Roman" w:hAnsi="Times New Roman"/>
          <w:spacing w:val="-4"/>
          <w:sz w:val="28"/>
          <w:szCs w:val="28"/>
          <w:lang w:val="en-US"/>
        </w:rPr>
        <w:t>V</w:t>
      </w:r>
      <w:r w:rsidRPr="00B71535">
        <w:rPr>
          <w:rFonts w:ascii="Times New Roman" w:hAnsi="Times New Roman"/>
          <w:spacing w:val="-4"/>
          <w:sz w:val="28"/>
          <w:szCs w:val="28"/>
        </w:rPr>
        <w:t xml:space="preserve">   «Преступления  против   семьи, </w:t>
      </w:r>
      <w:r w:rsidRPr="00B71535">
        <w:rPr>
          <w:rFonts w:ascii="Times New Roman" w:hAnsi="Times New Roman"/>
          <w:sz w:val="28"/>
          <w:szCs w:val="28"/>
        </w:rPr>
        <w:t>молодежи и нравственности»</w:t>
      </w:r>
      <w:r>
        <w:rPr>
          <w:rFonts w:ascii="Times New Roman" w:hAnsi="Times New Roman"/>
          <w:sz w:val="28"/>
          <w:szCs w:val="28"/>
        </w:rPr>
        <w:t xml:space="preserve">.   Уголовный кодекс Болгарии включает </w:t>
      </w:r>
      <w:r w:rsidRPr="008710EB">
        <w:rPr>
          <w:rFonts w:ascii="Times New Roman" w:hAnsi="Times New Roman"/>
          <w:spacing w:val="-6"/>
          <w:sz w:val="30"/>
          <w:szCs w:val="30"/>
        </w:rPr>
        <w:t xml:space="preserve">преступления против половой неприкосновенности </w:t>
      </w:r>
      <w:r w:rsidRPr="008710EB">
        <w:rPr>
          <w:rFonts w:ascii="Times New Roman" w:hAnsi="Times New Roman"/>
          <w:sz w:val="30"/>
          <w:szCs w:val="30"/>
        </w:rPr>
        <w:t>несовершеннолетних (ст. 190-192 УК РФ) в</w:t>
      </w:r>
      <w:r w:rsidRPr="008710EB">
        <w:rPr>
          <w:rFonts w:ascii="Times New Roman" w:hAnsi="Times New Roman"/>
          <w:color w:val="FF0000"/>
          <w:sz w:val="30"/>
          <w:szCs w:val="30"/>
        </w:rPr>
        <w:t xml:space="preserve"> </w:t>
      </w:r>
      <w:r w:rsidRPr="008710EB">
        <w:rPr>
          <w:rFonts w:ascii="Times New Roman" w:hAnsi="Times New Roman"/>
          <w:sz w:val="28"/>
          <w:szCs w:val="28"/>
        </w:rPr>
        <w:t xml:space="preserve">главу 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71535">
        <w:rPr>
          <w:rFonts w:ascii="Times New Roman" w:hAnsi="Times New Roman"/>
          <w:spacing w:val="-4"/>
          <w:sz w:val="28"/>
          <w:szCs w:val="28"/>
          <w:lang w:val="en-US"/>
        </w:rPr>
        <w:t>V</w:t>
      </w:r>
      <w:r w:rsidRPr="008710EB">
        <w:rPr>
          <w:rFonts w:ascii="Times New Roman" w:hAnsi="Times New Roman"/>
          <w:sz w:val="28"/>
          <w:szCs w:val="28"/>
        </w:rPr>
        <w:t xml:space="preserve">  «Преступления против брака, семьи и молодежи» </w:t>
      </w:r>
      <w:r w:rsidRPr="008710EB">
        <w:rPr>
          <w:rStyle w:val="FootnoteReference"/>
          <w:rFonts w:ascii="Times New Roman" w:hAnsi="Times New Roman"/>
          <w:sz w:val="28"/>
          <w:szCs w:val="28"/>
        </w:rPr>
        <w:footnoteReference w:id="5"/>
      </w:r>
      <w:r w:rsidRPr="008710EB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Вместе с тем, с точки зрения уголовного права, названные преступления имеют иной видовой и непосредственный объект, что в отдельных случаях,  не бесспорно.</w:t>
      </w:r>
      <w:r w:rsidRPr="00A71EFF">
        <w:rPr>
          <w:color w:val="FF0000"/>
          <w:spacing w:val="-6"/>
          <w:sz w:val="30"/>
          <w:szCs w:val="30"/>
        </w:rPr>
        <w:t xml:space="preserve"> </w:t>
      </w:r>
    </w:p>
    <w:p w:rsidR="00F4265C" w:rsidRDefault="00F4265C" w:rsidP="009409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законодатель не только выделил преступления против несовершеннолетних в отдельную главу УК РФ, но и предусмотрел повышенную уголовную ответственность за преступления против личности в отношении несовершеннолетних.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криминалистике исследованию личности потерпевшего придается большое значение. Для расследования и судебного разбирательства преступлений против несовершеннолетних необходимо исследовать не только личностные качества несовершеннолетнего потерпевшего, но и характер взаимоотношений в семье, окружении и другие. В классификации преступлений против семьи и несовершеннолетних личность несовершеннолетнего имеет особое значение. Однако несовершеннолетний ребенок может являться потерпевшим по различным преступлениям. Означает ли это, что иные преступления (например, изнасилование, развратные действия в отношении несовершеннолетнего, торговля людьми и др.) относятся к категории преступлений против несовершеннолетних? В широком понимании да, относятся. Но в перечисленных и других преступлениях личность несовершеннолетнего, его права и законные интересы составляют лишь часть объекта этих составов. В качестве основного объекта выступают иные общественные отношения.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криминалистические признаки – характеристика потерпевшего и среды совершения преступления – являются основанием для классификации преступлений, не входящих в главу 20 УК РФ, как относящихся к преступлениям против семьи и несовершеннолетних. Такие преступления могут совершаться в семье членами семьи (например, развратные действия, торговля людьми и др.), а также вне семьи, но связаны с последней средой совершения преступления.</w:t>
      </w:r>
    </w:p>
    <w:p w:rsidR="00F4265C" w:rsidRDefault="00F4265C" w:rsidP="00257B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преступлений,  диспозиции норм уголовного кодекса которых прямо указывают на возраст потерпевшего, как на составной элемент преступления, можно выделить следующие составы: ст. 134 УК РФ – половое сношение и иные действия сексуального характера с лицом, не достигшим  шестнадцатилетнего возраста,</w:t>
      </w:r>
      <w:r w:rsidRPr="00EE4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ст. 135 УК РФ – развратные действия в отношении несовершеннолетних. От последнего состава незначительно отличается преступление, предусмотренное ст. 132 УК РФ – насильственные действия сексуального характера,  ст. 133 УК РФ – понуждение к действиям сексуального характера (в отношении несовершеннолетних). Преступления, предусмотренные вышеуказанными статьями УК РФ, совершенные в семье членами семьи или вне семьи, лицами, осуществляющими функции по воспитанию ребенка, можно классифицировать как преступления против семьи и несовершеннолетних. В перечисленных преступлениях при классификации учитывается сходство признаков по характеру непосредственного предмета преступного посягательства, в качестве которого выступает половая неприкосновенность несовершеннолетнего, а также его физическое и нравственное развитие. </w:t>
      </w:r>
    </w:p>
    <w:p w:rsidR="00F4265C" w:rsidRDefault="00F4265C" w:rsidP="00E6007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признакам предмета посягательства и способу совершения, преступлениям, предусмотренным ст. 150, 151 УК РФ, сходно вовлечение несовершеннолетних в занятие проституцией – ст. 240 УК РФ. По существу данное преступление является частым случаем вовлечения несовершеннолетнего в совершение преступления или в совершение антиобщественных действий. Тоже можно сказать об истязании несовершеннолетнего – ст. 117 УК РФ и о неисполнении обязанностей по воспитанию несовершеннолетнего, связанного с жестоким обращением с ребенком – ст. 156 УК РФ.</w:t>
      </w:r>
      <w:r w:rsidRPr="00A71EFF">
        <w:rPr>
          <w:sz w:val="28"/>
          <w:szCs w:val="28"/>
        </w:rPr>
        <w:t xml:space="preserve"> </w:t>
      </w:r>
    </w:p>
    <w:p w:rsidR="00F4265C" w:rsidRDefault="00F4265C" w:rsidP="00E600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и непосредственным предметом торговли и иных сделок с несовершеннолетними является, помимо свободы, чести и достоинства личности, охрана прав и законных интересов семьи, а также нравственное и физическое развитие несовершеннолетних</w:t>
      </w:r>
      <w:r w:rsidRPr="00242E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(п. «б» ч.2  ст. 127</w:t>
      </w:r>
      <w:r>
        <w:rPr>
          <w:rFonts w:ascii="Times New Roman" w:hAnsi="Times New Roman"/>
          <w:sz w:val="28"/>
          <w:szCs w:val="28"/>
          <w:vertAlign w:val="superscript"/>
        </w:rPr>
        <w:t>1)</w:t>
      </w:r>
      <w:r>
        <w:rPr>
          <w:rFonts w:ascii="Times New Roman" w:hAnsi="Times New Roman"/>
          <w:sz w:val="28"/>
          <w:szCs w:val="28"/>
        </w:rPr>
        <w:t xml:space="preserve">. Достаточно сказать, что до 08. 12. 2003 г. торговля несовершеннолетними была в составе 20 главы Уголовного кодекса РФ «Преступления против семьи несовершеннолетних». </w:t>
      </w:r>
      <w:r w:rsidRPr="00C0512D">
        <w:rPr>
          <w:rFonts w:ascii="Times New Roman" w:hAnsi="Times New Roman"/>
          <w:sz w:val="28"/>
          <w:szCs w:val="28"/>
        </w:rPr>
        <w:t>В результате исключение статьи 152 из УК РФ возник пробел в законодательстве в случае сделок с несовершеннолетними без цели их эксплуатации.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Сходство признаков непосредственного предмета преступного посягательства и характерной среды его совершения позволяют сделать единственно верный вывод о том, что криминалистическая классификация относит торговлю несовершеннолетними к преступлениям против семьи и несовершеннолетних.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Характерной особенностью рассматриваемой группы преступлений является тот факт, что они </w:t>
      </w:r>
      <w:r w:rsidRPr="0071579D">
        <w:rPr>
          <w:rFonts w:ascii="Times New Roman" w:hAnsi="Times New Roman"/>
          <w:sz w:val="28"/>
          <w:szCs w:val="28"/>
        </w:rPr>
        <w:t>могут совершаться как независимо друг от друга и иметь самостоятельный характер</w:t>
      </w:r>
      <w:r>
        <w:rPr>
          <w:rFonts w:ascii="Times New Roman" w:hAnsi="Times New Roman"/>
          <w:sz w:val="28"/>
          <w:szCs w:val="28"/>
        </w:rPr>
        <w:t xml:space="preserve">, так и </w:t>
      </w:r>
      <w:r w:rsidRPr="0071579D">
        <w:rPr>
          <w:rFonts w:ascii="Times New Roman" w:hAnsi="Times New Roman"/>
          <w:spacing w:val="-1"/>
          <w:sz w:val="28"/>
          <w:szCs w:val="28"/>
        </w:rPr>
        <w:t xml:space="preserve">нередко  связаны между собой. Подмена ребенка может предшествовать последующей возмездной передаче, незаконное </w:t>
      </w:r>
      <w:r w:rsidRPr="0071579D">
        <w:rPr>
          <w:rFonts w:ascii="Times New Roman" w:hAnsi="Times New Roman"/>
          <w:sz w:val="28"/>
          <w:szCs w:val="28"/>
        </w:rPr>
        <w:t>усыновление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71579D">
        <w:rPr>
          <w:rFonts w:ascii="Times New Roman" w:hAnsi="Times New Roman"/>
          <w:sz w:val="28"/>
          <w:szCs w:val="28"/>
        </w:rPr>
        <w:t>способом  легализации похищения или продажи несовершеннолетнего.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Непосредственным предметом преступного посягательства является </w:t>
      </w:r>
      <w:r>
        <w:rPr>
          <w:rFonts w:ascii="Times New Roman" w:hAnsi="Times New Roman"/>
          <w:spacing w:val="-2"/>
          <w:sz w:val="28"/>
          <w:szCs w:val="28"/>
        </w:rPr>
        <w:t>личная свобода ре</w:t>
      </w:r>
      <w:r>
        <w:rPr>
          <w:rFonts w:ascii="Times New Roman" w:hAnsi="Times New Roman"/>
          <w:spacing w:val="-2"/>
          <w:sz w:val="28"/>
          <w:szCs w:val="28"/>
        </w:rPr>
        <w:softHyphen/>
      </w:r>
      <w:r>
        <w:rPr>
          <w:rFonts w:ascii="Times New Roman" w:hAnsi="Times New Roman"/>
          <w:spacing w:val="-5"/>
          <w:sz w:val="28"/>
          <w:szCs w:val="28"/>
        </w:rPr>
        <w:t xml:space="preserve">бенка, </w:t>
      </w:r>
      <w:r>
        <w:rPr>
          <w:rFonts w:ascii="Times New Roman" w:hAnsi="Times New Roman"/>
          <w:sz w:val="28"/>
          <w:szCs w:val="28"/>
        </w:rPr>
        <w:t xml:space="preserve">физическое и нравственное состояние несовершеннолетнего, </w:t>
      </w:r>
      <w:r>
        <w:rPr>
          <w:rFonts w:ascii="Times New Roman" w:hAnsi="Times New Roman"/>
          <w:spacing w:val="-5"/>
          <w:sz w:val="28"/>
          <w:szCs w:val="28"/>
        </w:rPr>
        <w:t xml:space="preserve">интересы несовершеннолетнего в получении нормального, полноценного </w:t>
      </w:r>
      <w:r>
        <w:rPr>
          <w:rFonts w:ascii="Times New Roman" w:hAnsi="Times New Roman"/>
          <w:spacing w:val="-3"/>
          <w:sz w:val="28"/>
          <w:szCs w:val="28"/>
        </w:rPr>
        <w:t xml:space="preserve">воспитания и общения с родителями. </w:t>
      </w:r>
      <w:r>
        <w:rPr>
          <w:rFonts w:ascii="Times New Roman" w:hAnsi="Times New Roman"/>
          <w:sz w:val="28"/>
          <w:szCs w:val="28"/>
        </w:rPr>
        <w:t xml:space="preserve">Вторым непосредственным предметом являются интересы семьи, права и законные интересы </w:t>
      </w:r>
      <w:r>
        <w:rPr>
          <w:rFonts w:ascii="Times New Roman" w:hAnsi="Times New Roman"/>
          <w:spacing w:val="-3"/>
          <w:sz w:val="28"/>
          <w:szCs w:val="28"/>
        </w:rPr>
        <w:t xml:space="preserve">родителей, </w:t>
      </w:r>
      <w:r>
        <w:rPr>
          <w:rFonts w:ascii="Times New Roman" w:hAnsi="Times New Roman"/>
          <w:sz w:val="28"/>
          <w:szCs w:val="28"/>
        </w:rPr>
        <w:t xml:space="preserve">связанные с воспитанием и общением со своим ребенком.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 основе анализа уголовно – правовых и  криминалистических признаков предмета преступного посягательства, среды совершения преступления, личности потерпевших можно классифицировать подгруппы преступлений против семьи и несовершеннолетних:  преступления против семьи; преступления против несовершеннолетних       (гл. 20 УК РФ); преступления в сфере половой неприкосновенности несовершеннолетних (гл. 18 УК РФ), совершаемых в семье и в сфере функционирования семьи; иные преступления, направленные  против семьи и несовершеннолетних (не включенные в гл. 20 УК РФ,  расположенные в      гл. 17 и других главах УК РФ).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рассмотрели процесс криминалистической классификации преступлений несовершеннолетних по  признакам уголовно – правовой характеристики и частично криминалистической характеристики преступления. Для полноты классификации необходимо исследовать признаки расследования указанных преступлений и рассмотреть процесс в сочетании указанных признаков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/>
          <w:sz w:val="28"/>
          <w:szCs w:val="28"/>
        </w:rPr>
        <w:t>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В тексте настоящей работы уже неоднократно отмечалось специфическое родство исследуемых составов, прослеживается оно </w:t>
      </w:r>
      <w:r>
        <w:rPr>
          <w:rFonts w:ascii="Times New Roman" w:hAnsi="Times New Roman"/>
          <w:spacing w:val="-2"/>
          <w:sz w:val="28"/>
          <w:szCs w:val="28"/>
        </w:rPr>
        <w:t xml:space="preserve">и в отношении лиц, причастных к их совершению: члены семьи или лица, осуществляющие функции по устройству ребенка в семью или непосредственно осуществляющие функции по воспитанию ребенка.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Личность преступника во всем многообразии ее специфических характерных </w:t>
      </w:r>
      <w:r>
        <w:rPr>
          <w:rFonts w:ascii="Times New Roman" w:hAnsi="Times New Roman"/>
          <w:spacing w:val="-3"/>
          <w:sz w:val="28"/>
          <w:szCs w:val="28"/>
        </w:rPr>
        <w:t>особенностей во многом определяет общий характер, подготовку, способ со</w:t>
      </w:r>
      <w:r>
        <w:rPr>
          <w:rFonts w:ascii="Times New Roman" w:hAnsi="Times New Roman"/>
          <w:spacing w:val="-3"/>
          <w:sz w:val="28"/>
          <w:szCs w:val="28"/>
        </w:rPr>
        <w:softHyphen/>
      </w:r>
      <w:r>
        <w:rPr>
          <w:rFonts w:ascii="Times New Roman" w:hAnsi="Times New Roman"/>
          <w:spacing w:val="-4"/>
          <w:sz w:val="28"/>
          <w:szCs w:val="28"/>
        </w:rPr>
        <w:t xml:space="preserve">вершения преступления, действия по сокрытию его следов и иные важнейшие </w:t>
      </w:r>
      <w:r>
        <w:rPr>
          <w:rFonts w:ascii="Times New Roman" w:hAnsi="Times New Roman"/>
          <w:spacing w:val="-3"/>
          <w:sz w:val="28"/>
          <w:szCs w:val="28"/>
        </w:rPr>
        <w:t xml:space="preserve">криминалистически значимые элементы любого преступления.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Важным классификационным критерием, применимым к преступлениям против семьи и несовершеннолетних в большинстве случаев является наличие </w:t>
      </w:r>
      <w:r>
        <w:rPr>
          <w:rFonts w:ascii="Times New Roman" w:hAnsi="Times New Roman"/>
          <w:spacing w:val="-4"/>
          <w:sz w:val="28"/>
          <w:szCs w:val="28"/>
        </w:rPr>
        <w:t>личностных свя</w:t>
      </w:r>
      <w:r>
        <w:rPr>
          <w:rFonts w:ascii="Times New Roman" w:hAnsi="Times New Roman"/>
          <w:spacing w:val="-4"/>
          <w:sz w:val="28"/>
          <w:szCs w:val="28"/>
        </w:rPr>
        <w:softHyphen/>
      </w:r>
      <w:r>
        <w:rPr>
          <w:rFonts w:ascii="Times New Roman" w:hAnsi="Times New Roman"/>
          <w:spacing w:val="-2"/>
          <w:sz w:val="28"/>
          <w:szCs w:val="28"/>
        </w:rPr>
        <w:t xml:space="preserve">зей между преступником и объектом преступного посягательства.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Для совер</w:t>
      </w:r>
      <w:r>
        <w:rPr>
          <w:rFonts w:ascii="Times New Roman" w:hAnsi="Times New Roman"/>
          <w:spacing w:val="-2"/>
          <w:sz w:val="28"/>
          <w:szCs w:val="28"/>
        </w:rPr>
        <w:softHyphen/>
        <w:t xml:space="preserve">шения преступления лицами, находящимися в личностной связи с </w:t>
      </w:r>
      <w:r>
        <w:rPr>
          <w:rFonts w:ascii="Times New Roman" w:hAnsi="Times New Roman"/>
          <w:spacing w:val="-3"/>
          <w:sz w:val="28"/>
          <w:szCs w:val="28"/>
        </w:rPr>
        <w:t>несовершеннолетними, характерной особенностью является ненасильст</w:t>
      </w:r>
      <w:r>
        <w:rPr>
          <w:rFonts w:ascii="Times New Roman" w:hAnsi="Times New Roman"/>
          <w:spacing w:val="-3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 xml:space="preserve">венный характер производимых действий, в большинстве случаев </w:t>
      </w:r>
      <w:r>
        <w:rPr>
          <w:rFonts w:ascii="Times New Roman" w:hAnsi="Times New Roman"/>
          <w:spacing w:val="-3"/>
          <w:sz w:val="28"/>
          <w:szCs w:val="28"/>
        </w:rPr>
        <w:t xml:space="preserve">ребенок вводится в заблуждение относительно осуществляемого.                     Ряд </w:t>
      </w:r>
      <w:r w:rsidRPr="008279BE">
        <w:rPr>
          <w:rFonts w:ascii="Times New Roman" w:hAnsi="Times New Roman"/>
          <w:spacing w:val="-3"/>
          <w:sz w:val="28"/>
          <w:szCs w:val="28"/>
        </w:rPr>
        <w:t>п</w:t>
      </w:r>
      <w:r w:rsidRPr="008279BE">
        <w:rPr>
          <w:rFonts w:ascii="Times New Roman" w:hAnsi="Times New Roman"/>
          <w:sz w:val="28"/>
          <w:szCs w:val="28"/>
        </w:rPr>
        <w:t>реступлений, как входящи</w:t>
      </w:r>
      <w:r>
        <w:rPr>
          <w:rFonts w:ascii="Times New Roman" w:hAnsi="Times New Roman"/>
          <w:sz w:val="28"/>
          <w:szCs w:val="28"/>
        </w:rPr>
        <w:t>х</w:t>
      </w:r>
      <w:r w:rsidRPr="008279BE">
        <w:rPr>
          <w:rFonts w:ascii="Times New Roman" w:hAnsi="Times New Roman"/>
          <w:sz w:val="28"/>
          <w:szCs w:val="28"/>
        </w:rPr>
        <w:t xml:space="preserve"> в гл. 20 УК РФ, так и расположенные в других частях уголовного кодекса, совершается посредством открытых насильственных действий,</w:t>
      </w:r>
      <w:r w:rsidRPr="008153F4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направленных </w:t>
      </w:r>
      <w:r>
        <w:rPr>
          <w:rFonts w:ascii="Times New Roman" w:hAnsi="Times New Roman"/>
          <w:spacing w:val="-3"/>
          <w:sz w:val="28"/>
          <w:szCs w:val="28"/>
        </w:rPr>
        <w:t>на подавление воли и внутреннего сопротивления ребенка, сам характер подоб</w:t>
      </w:r>
      <w:r>
        <w:rPr>
          <w:rFonts w:ascii="Times New Roman" w:hAnsi="Times New Roman"/>
          <w:spacing w:val="-3"/>
          <w:sz w:val="28"/>
          <w:szCs w:val="28"/>
        </w:rPr>
        <w:softHyphen/>
      </w:r>
      <w:r>
        <w:rPr>
          <w:rFonts w:ascii="Times New Roman" w:hAnsi="Times New Roman"/>
          <w:spacing w:val="-2"/>
          <w:sz w:val="28"/>
          <w:szCs w:val="28"/>
        </w:rPr>
        <w:t>ного (физического и морального) воздействия направлен на выработку у несо</w:t>
      </w:r>
      <w:r>
        <w:rPr>
          <w:rFonts w:ascii="Times New Roman" w:hAnsi="Times New Roman"/>
          <w:spacing w:val="-2"/>
          <w:sz w:val="28"/>
          <w:szCs w:val="28"/>
        </w:rPr>
        <w:softHyphen/>
      </w:r>
      <w:r>
        <w:rPr>
          <w:rFonts w:ascii="Times New Roman" w:hAnsi="Times New Roman"/>
          <w:spacing w:val="-4"/>
          <w:sz w:val="28"/>
          <w:szCs w:val="28"/>
        </w:rPr>
        <w:t xml:space="preserve">вершеннолетнего безразличного отношения к производимым с ним действиям и </w:t>
      </w:r>
      <w:r>
        <w:rPr>
          <w:rFonts w:ascii="Times New Roman" w:hAnsi="Times New Roman"/>
          <w:spacing w:val="-3"/>
          <w:sz w:val="28"/>
          <w:szCs w:val="28"/>
        </w:rPr>
        <w:t xml:space="preserve">их последствиям. </w:t>
      </w:r>
      <w:r w:rsidRPr="008279BE">
        <w:rPr>
          <w:rFonts w:ascii="Times New Roman" w:hAnsi="Times New Roman"/>
          <w:sz w:val="28"/>
          <w:szCs w:val="28"/>
        </w:rPr>
        <w:t>Это угрозы, насилие, нанесение побоев, причинение телесных повреждений. По этим признакам способы совершения рассматриваемых преступлений сходны между собой.</w:t>
      </w:r>
      <w:r>
        <w:rPr>
          <w:rFonts w:ascii="Times New Roman" w:hAnsi="Times New Roman"/>
          <w:sz w:val="28"/>
          <w:szCs w:val="28"/>
        </w:rPr>
        <w:t xml:space="preserve"> Особую группу преступлений составляют посягательства на половую неприкосновенность несовершеннолетних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7"/>
      </w:r>
      <w:r>
        <w:rPr>
          <w:rFonts w:ascii="Times New Roman" w:hAnsi="Times New Roman"/>
          <w:sz w:val="28"/>
          <w:szCs w:val="28"/>
        </w:rPr>
        <w:t xml:space="preserve">. Способы совершения таких преступлений, как правило,  выражаются в насильственных действиях. Особенность состоит в том, что достаточно часто подобные преступления совершаются членом семьи (отец, отчим), иными родственниками,  или лицами, осуществляющими функции по воспитанию ребенка.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большинства рассмотренных преступлений сходны признаки обстановки. Это семья, включая места проживания и иные территории, связанные с жизнедеятельностью семьи. Вторая группа – помещения различных государственных учреждений, связанных с содержанием и воспитанием детей: родильные дома, детские воспитательные учреждения, детские дома и др.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всех рассматриваемых преступлений сходны признаки следообразования: возникновения следов и иных фактических данных. По признакам следообразования преступления можно разделить на группы. При совершении преступлений против семьи значительная часть сведений о фактах находит отражение в различных документах. Для второй группы характерно наличие материальных следов, прежде всего на теле и одежде несовершеннолетнего. Это следы насилия, следы, косвенно подтверждающие наличие какого – либо факта.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Сходство признаков  следообразования обуславливает определенную тождественность проверочных действий и первоначального этапа расследования. В ситуациях сопровождения преступных деяний документооборотом проводятся ревизии, документальные  проверки, экспертизы. В случаях телесных повреждений и следов на теле и одежде потерпевшего – освидетельствование, следственные осмотры, судебно – медицинские и иные экспертизы.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Сходны признаки допросов несовершеннолетних свидетелей и потерпевших, лиц, подозреваемых и обвиняемых в совершении преступлений: организация, тактика, использование результатов в расследовании. </w:t>
      </w:r>
    </w:p>
    <w:p w:rsidR="00F4265C" w:rsidRDefault="00F4265C" w:rsidP="000109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можно выделить группы признаков преступлений и их расследования, тождественных между собой и являющихся критерием классификации преступлений против семьи и несовершеннолетних. Это признаки объекта и предмета преступного посягательства: обстановки совершения преступлений (включая место совершения преступлений); способ совершения преступлений; признаки видов следов и иных фактических данных; способы и содержание предварительной проверки; тактика отдельных видов следственных действий. </w:t>
      </w:r>
    </w:p>
    <w:p w:rsidR="00F4265C" w:rsidRDefault="00F4265C" w:rsidP="008315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Тождественность указанных признаков дает основание для криминалистической классификации преступлений против семьи и несовершеннолетних. Таким образом, исходным основанием для классификации названных преступлений является объект и непосредственный предмет преступного посягательства, преступление и характерная среда его совершения, содержание расследования. Признаки, отражающие сущность названных оснований, сходны. Это позволяет объединить их в группу преступлений против семьи и несовершеннолетних. </w:t>
      </w:r>
    </w:p>
    <w:p w:rsidR="00F4265C" w:rsidRDefault="00F4265C" w:rsidP="008A1C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265C" w:rsidRPr="007F22E9" w:rsidRDefault="00F4265C" w:rsidP="007F22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2E9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Багмет А. М., Бычков В. В., Сажаев А. М. Расследование уголовного и иных насильственных действий сексуального характера, совершаемых в отношении несовершеннолетних и/или несовершеннолетним в составе группы. М. 2017.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 xml:space="preserve">Бородин С. В. Новое уголовное право России. Особенная часть : учебное пособие. М. : Норма, 2007. С. 91; 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Виноградова Е. В., Зырянов В. И., Панченко П. И. Уголовное право России. Особенная часть. Ч. 1 / Преступления против личности: краткий курс лекций. Ставрополь, 2009. С. 62.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Кибальник А. Г., Соломоненко И. Г. Лекции по уголовному праву. Ставрополь, 2010. С. 228.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Куемжиева С. А., Зеленский В. Д. Общие положения криминалистической методики. Краснодар. 2015. С. 142-144.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 xml:space="preserve">Образцов В. А. Криминалистическая классификация преступлений. Красноярск. 1988. С.9.; 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 xml:space="preserve">Современное уголовное право. Общая и особенная части. Учебник под ред. А. В. Наумова. М. 2007. С. 560; 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Туктарова И. Н. Уголовно-правовая охрана несовершеннолетних:: автореф. дис. ... канд. юрид. наук. Саратов, 2000. С. 10-11.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 xml:space="preserve">Уголовный кодекс Республики Болгария / Науч. ред. А.И. Лукашова; перевод с болгарского Д. В. Милушева, А.И. Лукашова; </w:t>
      </w:r>
      <w:r w:rsidRPr="007F22E9">
        <w:rPr>
          <w:rFonts w:ascii="Times New Roman" w:hAnsi="Times New Roman"/>
          <w:sz w:val="24"/>
          <w:szCs w:val="24"/>
          <w:lang w:val="uk-UA"/>
        </w:rPr>
        <w:t xml:space="preserve">вступ, </w:t>
      </w:r>
      <w:r w:rsidRPr="007F22E9">
        <w:rPr>
          <w:rFonts w:ascii="Times New Roman" w:hAnsi="Times New Roman"/>
          <w:sz w:val="24"/>
          <w:szCs w:val="24"/>
        </w:rPr>
        <w:t>статья Й.И. Айдарова.  СПб.: Юридический центр Пресс, 2001.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 xml:space="preserve">Уголовный кодекс Республики Узбекистан. / </w:t>
      </w:r>
      <w:r w:rsidRPr="007F22E9">
        <w:rPr>
          <w:rFonts w:ascii="Times New Roman" w:hAnsi="Times New Roman"/>
          <w:sz w:val="24"/>
          <w:szCs w:val="24"/>
          <w:lang w:val="uk-UA"/>
        </w:rPr>
        <w:t xml:space="preserve">Вступ. </w:t>
      </w:r>
      <w:r w:rsidRPr="007F22E9">
        <w:rPr>
          <w:rFonts w:ascii="Times New Roman" w:hAnsi="Times New Roman"/>
          <w:sz w:val="24"/>
          <w:szCs w:val="24"/>
        </w:rPr>
        <w:t xml:space="preserve">Стат. М.Х. Рустамбаева, А.С. Якубова, З. Х. Гулямова. СПб.: Юридический центр Пресс, 2001; </w:t>
      </w:r>
    </w:p>
    <w:p w:rsidR="00F4265C" w:rsidRPr="007F22E9" w:rsidRDefault="00F4265C" w:rsidP="007F22E9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</w:rPr>
        <w:t>Шмонин А. В. Методология криминалистической методики. М. 2010. С. 118.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65C" w:rsidRPr="00B75DC4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</w:rPr>
        <w:t>1.</w:t>
      </w:r>
      <w:r w:rsidRPr="007F22E9">
        <w:rPr>
          <w:rFonts w:ascii="Times New Roman" w:hAnsi="Times New Roman"/>
          <w:sz w:val="24"/>
          <w:szCs w:val="24"/>
        </w:rPr>
        <w:tab/>
        <w:t xml:space="preserve">Bagmet A. M., Bychkov V. V., Sazhaev A. M. Rassledovanie ugolovnogo i inyh nasil'stvennyh dejstvij seksual'nogo haraktera, sovershaemyh v otnoshenii nesovershennoletnih i/ili nesovershennoletnim v sostave gruppy. </w:t>
      </w:r>
      <w:r w:rsidRPr="007F22E9">
        <w:rPr>
          <w:rFonts w:ascii="Times New Roman" w:hAnsi="Times New Roman"/>
          <w:sz w:val="24"/>
          <w:szCs w:val="24"/>
          <w:lang w:val="en-US"/>
        </w:rPr>
        <w:t>M. 2017.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2.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 xml:space="preserve">Borodin S. V. Novoe ugolovnoe pravo Rossii. Osobennaja chast' : uchebnoe posobie. M. : Norma, 2007. S. 91; 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3.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>Vinogradova E. V., Zyrjanov V. I., Panchenko P. I. Ugolovnoe pravo Rossii. Osobennaja chast'. Ch. 1 / Prestuplenija protiv lichnosti: kratkij kurs lekcij. Stavropol', 2009. S. 62.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4.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>Kibal'nik A. G., Solomonenko I. G. Lekcii po ugolovnomu pravu. Stavropol', 2010. S. 228.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5.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>Kuemzhieva S. A., Zelenskij V. D. Obshhie polozhenija kriminalisticheskoj metodiki. Krasnodar. 2015. S. 142-144.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6.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 xml:space="preserve">Obrazcov V. A. Kriminalisticheskaja klassifikacija prestuplenij. Krasnojarsk. 1988. S.9.; 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7.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 xml:space="preserve">Sovremennoe ugolovnoe pravo. Obshhaja i osobennaja chasti. Uchebnik pod red. A. V. Naumova. M. 2007. S. 560; 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8.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>Tuktarova I. N. Ugolovno-pravovaja ohrana nesovershennoletnih:: avtoref. dis. ... kand. jurid. nauk. Saratov, 2000. S. 10-11.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9.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>Ugolovnyj kodeks Respubliki Bolgarija / Nauch. red. A.I. Lukashova; perevod s bolgarskogo D. V. Milusheva, A.I. Lukashova; vstup, stat'ja J.I. Ajdarova.  SPb.: Juridicheskij centr Press, 2001.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10.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 xml:space="preserve">Ugolovnyj kodeks Respubliki Uzbekistan. / Vstup. Stat. M.H. Rustambaeva, A.S. Jakubova, Z. H. Guljamova. SPb.: Juridicheskij centr Press, 2001; </w:t>
      </w:r>
    </w:p>
    <w:p w:rsidR="00F4265C" w:rsidRPr="007F22E9" w:rsidRDefault="00F4265C" w:rsidP="007F22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22E9">
        <w:rPr>
          <w:rFonts w:ascii="Times New Roman" w:hAnsi="Times New Roman"/>
          <w:sz w:val="24"/>
          <w:szCs w:val="24"/>
          <w:lang w:val="en-US"/>
        </w:rPr>
        <w:t>11.</w:t>
      </w:r>
      <w:r w:rsidRPr="007F22E9">
        <w:rPr>
          <w:rFonts w:ascii="Times New Roman" w:hAnsi="Times New Roman"/>
          <w:sz w:val="24"/>
          <w:szCs w:val="24"/>
          <w:lang w:val="en-US"/>
        </w:rPr>
        <w:tab/>
        <w:t xml:space="preserve">Shmonin A. V. Metodologija kriminalisticheskoj metodiki. </w:t>
      </w:r>
      <w:r w:rsidRPr="007F22E9">
        <w:rPr>
          <w:rFonts w:ascii="Times New Roman" w:hAnsi="Times New Roman"/>
          <w:sz w:val="24"/>
          <w:szCs w:val="24"/>
        </w:rPr>
        <w:t>M. 2010. S. 118.</w:t>
      </w:r>
    </w:p>
    <w:p w:rsidR="00F4265C" w:rsidRPr="008A1C3B" w:rsidRDefault="00F4265C" w:rsidP="008A1C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4265C" w:rsidRPr="008A1C3B" w:rsidSect="007F22E9">
      <w:headerReference w:type="even" r:id="rId7"/>
      <w:headerReference w:type="default" r:id="rId8"/>
      <w:footerReference w:type="default" r:id="rId9"/>
      <w:footnotePr>
        <w:numRestart w:val="eachPage"/>
      </w:footnotePr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65C" w:rsidRDefault="00F4265C" w:rsidP="000109D6">
      <w:pPr>
        <w:spacing w:after="0" w:line="240" w:lineRule="auto"/>
      </w:pPr>
      <w:r>
        <w:separator/>
      </w:r>
    </w:p>
  </w:endnote>
  <w:endnote w:type="continuationSeparator" w:id="0">
    <w:p w:rsidR="00F4265C" w:rsidRDefault="00F4265C" w:rsidP="0001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5C" w:rsidRPr="00E0078E" w:rsidRDefault="00F4265C">
    <w:pPr>
      <w:pStyle w:val="Footer"/>
      <w:rPr>
        <w:rFonts w:ascii="Times New Roman" w:hAnsi="Times New Roman"/>
      </w:rPr>
    </w:pPr>
    <w:bookmarkStart w:id="5" w:name="OLE_LINK122"/>
    <w:bookmarkStart w:id="6" w:name="OLE_LINK123"/>
    <w:bookmarkStart w:id="7" w:name="OLE_LINK124"/>
    <w:r w:rsidRPr="00E0078E">
      <w:rPr>
        <w:rFonts w:ascii="Times New Roman" w:hAnsi="Times New Roman"/>
        <w:sz w:val="24"/>
        <w:szCs w:val="24"/>
      </w:rPr>
      <w:t>http://ej.kubagro.ru/2017/</w:t>
    </w:r>
    <w:r w:rsidRPr="00E0078E">
      <w:rPr>
        <w:rFonts w:ascii="Times New Roman" w:hAnsi="Times New Roman"/>
        <w:sz w:val="24"/>
        <w:szCs w:val="24"/>
        <w:lang w:val="en-US"/>
      </w:rPr>
      <w:t>0</w:t>
    </w:r>
    <w:r w:rsidRPr="00E0078E">
      <w:rPr>
        <w:rFonts w:ascii="Times New Roman" w:hAnsi="Times New Roman"/>
        <w:sz w:val="24"/>
        <w:szCs w:val="24"/>
      </w:rPr>
      <w:t>7/pdf/</w:t>
    </w:r>
    <w:r w:rsidRPr="00E0078E">
      <w:rPr>
        <w:rFonts w:ascii="Times New Roman" w:hAnsi="Times New Roman"/>
        <w:sz w:val="24"/>
        <w:szCs w:val="24"/>
        <w:lang w:val="en-US"/>
      </w:rPr>
      <w:t>69</w:t>
    </w:r>
    <w:r w:rsidRPr="00E0078E">
      <w:rPr>
        <w:rFonts w:ascii="Times New Roman" w:hAnsi="Times New Roman"/>
        <w:sz w:val="24"/>
        <w:szCs w:val="24"/>
      </w:rPr>
      <w:t>.pdf</w:t>
    </w:r>
    <w:bookmarkEnd w:id="5"/>
    <w:bookmarkEnd w:id="6"/>
    <w:bookmarkEnd w:id="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65C" w:rsidRDefault="00F4265C" w:rsidP="000109D6">
      <w:pPr>
        <w:spacing w:after="0" w:line="240" w:lineRule="auto"/>
      </w:pPr>
      <w:r>
        <w:separator/>
      </w:r>
    </w:p>
  </w:footnote>
  <w:footnote w:type="continuationSeparator" w:id="0">
    <w:p w:rsidR="00F4265C" w:rsidRDefault="00F4265C" w:rsidP="000109D6">
      <w:pPr>
        <w:spacing w:after="0" w:line="240" w:lineRule="auto"/>
      </w:pPr>
      <w:r>
        <w:continuationSeparator/>
      </w:r>
    </w:p>
  </w:footnote>
  <w:footnote w:id="1">
    <w:p w:rsidR="00F4265C" w:rsidRDefault="00F4265C" w:rsidP="008A1C3B">
      <w:pPr>
        <w:pStyle w:val="FootnoteText"/>
        <w:ind w:firstLine="709"/>
        <w:jc w:val="both"/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Образцов В. А. Криминалистическая классификация преступлений. Красноярск. 1988. С.9.; Шмонин А. В. Методология криминалистической методики. М. 2010. С. 118.</w:t>
      </w:r>
    </w:p>
  </w:footnote>
  <w:footnote w:id="2">
    <w:p w:rsidR="00F4265C" w:rsidRPr="008A1C3B" w:rsidRDefault="00F4265C" w:rsidP="008A1C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Современное уголовное право. Общая и особенная части. Учебник под ред. А. В. Наумова. М. 2007. С. 560; </w:t>
      </w:r>
      <w:r w:rsidRPr="008A1C3B">
        <w:rPr>
          <w:rFonts w:ascii="Times New Roman" w:hAnsi="Times New Roman"/>
          <w:spacing w:val="-18"/>
          <w:sz w:val="24"/>
          <w:szCs w:val="24"/>
        </w:rPr>
        <w:t xml:space="preserve">Бородин С. В. Новое уголовное право России. Особенная часть : учебное пособие. М. : </w:t>
      </w:r>
      <w:r w:rsidRPr="008A1C3B">
        <w:rPr>
          <w:rFonts w:ascii="Times New Roman" w:hAnsi="Times New Roman"/>
          <w:sz w:val="24"/>
          <w:szCs w:val="24"/>
        </w:rPr>
        <w:t>Норма, 2007. С. 91;</w:t>
      </w:r>
      <w:r w:rsidRPr="008A1C3B">
        <w:rPr>
          <w:rFonts w:ascii="Times New Roman" w:hAnsi="Times New Roman"/>
          <w:spacing w:val="-17"/>
          <w:sz w:val="24"/>
          <w:szCs w:val="24"/>
        </w:rPr>
        <w:t xml:space="preserve"> Виноградова Е. В., Зырянов В. И., Панченко П. И. Уголовное право России. Особенная </w:t>
      </w:r>
      <w:r w:rsidRPr="008A1C3B">
        <w:rPr>
          <w:rFonts w:ascii="Times New Roman" w:hAnsi="Times New Roman"/>
          <w:spacing w:val="-12"/>
          <w:sz w:val="24"/>
          <w:szCs w:val="24"/>
        </w:rPr>
        <w:t xml:space="preserve">часть. Ч. 1 / Преступления против личности: краткий курс лекций. Ставрополь, 2009. </w:t>
      </w:r>
      <w:r w:rsidRPr="008A1C3B">
        <w:rPr>
          <w:rFonts w:ascii="Times New Roman" w:hAnsi="Times New Roman"/>
          <w:sz w:val="24"/>
          <w:szCs w:val="24"/>
        </w:rPr>
        <w:t>С. 62.</w:t>
      </w:r>
    </w:p>
    <w:p w:rsidR="00F4265C" w:rsidRDefault="00F4265C" w:rsidP="008A1C3B">
      <w:pPr>
        <w:shd w:val="clear" w:color="auto" w:fill="FFFFFF"/>
        <w:spacing w:after="0" w:line="240" w:lineRule="auto"/>
        <w:ind w:firstLine="709"/>
        <w:jc w:val="both"/>
      </w:pPr>
    </w:p>
  </w:footnote>
  <w:footnote w:id="3">
    <w:p w:rsidR="00F4265C" w:rsidRDefault="00F4265C" w:rsidP="008A1C3B">
      <w:pPr>
        <w:shd w:val="clear" w:color="auto" w:fill="FFFFFF"/>
        <w:spacing w:after="0" w:line="240" w:lineRule="auto"/>
        <w:ind w:firstLine="709"/>
        <w:jc w:val="both"/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Кибальник А. Г., Соломоненко И. Г. Лекции по уголовному праву. Ставрополь, 2010. С. 228.</w:t>
      </w:r>
    </w:p>
  </w:footnote>
  <w:footnote w:id="4">
    <w:p w:rsidR="00F4265C" w:rsidRPr="008A1C3B" w:rsidRDefault="00F4265C" w:rsidP="008A1C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</w:t>
      </w:r>
      <w:r w:rsidRPr="008A1C3B">
        <w:rPr>
          <w:rFonts w:ascii="Times New Roman" w:hAnsi="Times New Roman"/>
          <w:spacing w:val="-18"/>
          <w:sz w:val="24"/>
          <w:szCs w:val="24"/>
        </w:rPr>
        <w:t xml:space="preserve">Туктарова И. Н. Уголовно-правовая охрана несовершеннолетних:: автореф. дис. ... канд. </w:t>
      </w:r>
      <w:r w:rsidRPr="008A1C3B">
        <w:rPr>
          <w:rFonts w:ascii="Times New Roman" w:hAnsi="Times New Roman"/>
          <w:sz w:val="24"/>
          <w:szCs w:val="24"/>
        </w:rPr>
        <w:t>юрид. наук. Саратов, 2000. С. 10-11.</w:t>
      </w:r>
    </w:p>
    <w:p w:rsidR="00F4265C" w:rsidRDefault="00F4265C" w:rsidP="008A1C3B">
      <w:pPr>
        <w:shd w:val="clear" w:color="auto" w:fill="FFFFFF"/>
        <w:spacing w:after="0" w:line="240" w:lineRule="auto"/>
        <w:ind w:firstLine="709"/>
        <w:jc w:val="both"/>
      </w:pPr>
    </w:p>
  </w:footnote>
  <w:footnote w:id="5">
    <w:p w:rsidR="00F4265C" w:rsidRPr="008A1C3B" w:rsidRDefault="00F4265C" w:rsidP="008A1C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</w:t>
      </w:r>
      <w:r w:rsidRPr="008A1C3B">
        <w:rPr>
          <w:rFonts w:ascii="Times New Roman" w:hAnsi="Times New Roman"/>
          <w:spacing w:val="-7"/>
          <w:sz w:val="24"/>
          <w:szCs w:val="24"/>
        </w:rPr>
        <w:t xml:space="preserve">Уголовный кодекс Республики Узбекистан. / </w:t>
      </w:r>
      <w:r w:rsidRPr="008A1C3B">
        <w:rPr>
          <w:rFonts w:ascii="Times New Roman" w:hAnsi="Times New Roman"/>
          <w:spacing w:val="-7"/>
          <w:sz w:val="24"/>
          <w:szCs w:val="24"/>
          <w:lang w:val="uk-UA"/>
        </w:rPr>
        <w:t xml:space="preserve">Вступ. </w:t>
      </w:r>
      <w:r w:rsidRPr="008A1C3B">
        <w:rPr>
          <w:rFonts w:ascii="Times New Roman" w:hAnsi="Times New Roman"/>
          <w:spacing w:val="-7"/>
          <w:sz w:val="24"/>
          <w:szCs w:val="24"/>
        </w:rPr>
        <w:t xml:space="preserve">Стат. М.Х. Рустамбаева, А.С. Якубова, </w:t>
      </w:r>
      <w:r w:rsidRPr="008A1C3B">
        <w:rPr>
          <w:rFonts w:ascii="Times New Roman" w:hAnsi="Times New Roman"/>
          <w:sz w:val="24"/>
          <w:szCs w:val="24"/>
        </w:rPr>
        <w:t xml:space="preserve">З.Х.Гулямова. СПб.: Юридический центр Пресс, 2001; Уголовный кодекс Республики Болгария / Науч. ред. А.И. Лукашова; перевод с </w:t>
      </w:r>
      <w:r w:rsidRPr="008A1C3B">
        <w:rPr>
          <w:rFonts w:ascii="Times New Roman" w:hAnsi="Times New Roman"/>
          <w:spacing w:val="-1"/>
          <w:sz w:val="24"/>
          <w:szCs w:val="24"/>
        </w:rPr>
        <w:t xml:space="preserve">болгарского Д.В. Милушева, А.И. Лукашова; </w:t>
      </w:r>
      <w:r w:rsidRPr="008A1C3B">
        <w:rPr>
          <w:rFonts w:ascii="Times New Roman" w:hAnsi="Times New Roman"/>
          <w:spacing w:val="-1"/>
          <w:sz w:val="24"/>
          <w:szCs w:val="24"/>
          <w:lang w:val="uk-UA"/>
        </w:rPr>
        <w:t xml:space="preserve">вступ, </w:t>
      </w:r>
      <w:r w:rsidRPr="008A1C3B">
        <w:rPr>
          <w:rFonts w:ascii="Times New Roman" w:hAnsi="Times New Roman"/>
          <w:spacing w:val="-1"/>
          <w:sz w:val="24"/>
          <w:szCs w:val="24"/>
        </w:rPr>
        <w:t xml:space="preserve">статья Й.И. Айдарова.  СПб.: </w:t>
      </w:r>
      <w:r w:rsidRPr="008A1C3B">
        <w:rPr>
          <w:rFonts w:ascii="Times New Roman" w:hAnsi="Times New Roman"/>
          <w:sz w:val="24"/>
          <w:szCs w:val="24"/>
        </w:rPr>
        <w:t>Юридический центр Пресс, 2001.</w:t>
      </w:r>
    </w:p>
    <w:p w:rsidR="00F4265C" w:rsidRDefault="00F4265C" w:rsidP="008A1C3B">
      <w:pPr>
        <w:shd w:val="clear" w:color="auto" w:fill="FFFFFF"/>
        <w:spacing w:after="0" w:line="240" w:lineRule="auto"/>
        <w:ind w:firstLine="709"/>
        <w:jc w:val="both"/>
      </w:pPr>
    </w:p>
  </w:footnote>
  <w:footnote w:id="6">
    <w:p w:rsidR="00F4265C" w:rsidRDefault="00F4265C" w:rsidP="008A1C3B">
      <w:pPr>
        <w:pStyle w:val="FootnoteText"/>
        <w:ind w:firstLine="709"/>
        <w:jc w:val="both"/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Куемжиева С. А., Зеленский В. Д. Общие положения криминалистической методики. Краснодар. 2015. С. 142-144.</w:t>
      </w:r>
    </w:p>
  </w:footnote>
  <w:footnote w:id="7">
    <w:p w:rsidR="00F4265C" w:rsidRDefault="00F4265C" w:rsidP="008A1C3B">
      <w:pPr>
        <w:pStyle w:val="FootnoteText"/>
        <w:ind w:firstLine="709"/>
        <w:jc w:val="both"/>
      </w:pPr>
      <w:r w:rsidRPr="008A1C3B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A1C3B">
        <w:rPr>
          <w:rFonts w:ascii="Times New Roman" w:hAnsi="Times New Roman"/>
          <w:sz w:val="24"/>
          <w:szCs w:val="24"/>
        </w:rPr>
        <w:t xml:space="preserve"> Багмет А. М., Бычков В. В., Сажаев А. М. Расследование уголовного и иных насильственных действий сексуального характера, совершаемых в отношении несовершеннолетних и/или несовершеннолетним в составе группы. М. 2017.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5C" w:rsidRDefault="00F4265C" w:rsidP="0068083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265C" w:rsidRDefault="00F4265C" w:rsidP="00617FA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118"/>
  <w:bookmarkStart w:id="2" w:name="OLE_LINK119"/>
  <w:bookmarkStart w:id="3" w:name="OLE_LINK120"/>
  <w:bookmarkStart w:id="4" w:name="OLE_LINK121"/>
  <w:p w:rsidR="00F4265C" w:rsidRPr="00617FAF" w:rsidRDefault="00F4265C" w:rsidP="0068083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17FAF">
      <w:rPr>
        <w:rStyle w:val="PageNumber"/>
        <w:rFonts w:ascii="Times New Roman" w:hAnsi="Times New Roman"/>
        <w:sz w:val="28"/>
        <w:szCs w:val="28"/>
      </w:rPr>
      <w:fldChar w:fldCharType="begin"/>
    </w:r>
    <w:r w:rsidRPr="00617FA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17FA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617FAF">
      <w:rPr>
        <w:rStyle w:val="PageNumber"/>
        <w:rFonts w:ascii="Times New Roman" w:hAnsi="Times New Roman"/>
        <w:sz w:val="28"/>
        <w:szCs w:val="28"/>
      </w:rPr>
      <w:fldChar w:fldCharType="end"/>
    </w:r>
  </w:p>
  <w:p w:rsidR="00F4265C" w:rsidRPr="00617FAF" w:rsidRDefault="00F4265C" w:rsidP="00617FAF">
    <w:pPr>
      <w:pStyle w:val="Header"/>
      <w:ind w:right="360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</w:rPr>
      <w:t>31(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7), 2017 года</w:t>
    </w:r>
    <w:bookmarkEnd w:id="1"/>
    <w:bookmarkEnd w:id="2"/>
    <w:bookmarkEnd w:id="3"/>
    <w:bookmarkEnd w:id="4"/>
  </w:p>
  <w:p w:rsidR="00F4265C" w:rsidRDefault="00F426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4928"/>
    <w:multiLevelType w:val="hybridMultilevel"/>
    <w:tmpl w:val="80BC46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A91174"/>
    <w:multiLevelType w:val="hybridMultilevel"/>
    <w:tmpl w:val="B52A99FC"/>
    <w:lvl w:ilvl="0" w:tplc="557CD6A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CBE1DF4"/>
    <w:multiLevelType w:val="hybridMultilevel"/>
    <w:tmpl w:val="9ED6072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9EE7BA7"/>
    <w:multiLevelType w:val="hybridMultilevel"/>
    <w:tmpl w:val="1FE01D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1D1"/>
    <w:rsid w:val="000109D6"/>
    <w:rsid w:val="00011379"/>
    <w:rsid w:val="00051205"/>
    <w:rsid w:val="00061501"/>
    <w:rsid w:val="000669AC"/>
    <w:rsid w:val="000A7E3E"/>
    <w:rsid w:val="0014624C"/>
    <w:rsid w:val="001E37BE"/>
    <w:rsid w:val="001F162A"/>
    <w:rsid w:val="00242E8E"/>
    <w:rsid w:val="00250F18"/>
    <w:rsid w:val="00257B6C"/>
    <w:rsid w:val="002B157A"/>
    <w:rsid w:val="002B4FF4"/>
    <w:rsid w:val="002D6C9D"/>
    <w:rsid w:val="00301032"/>
    <w:rsid w:val="003235F1"/>
    <w:rsid w:val="00341C94"/>
    <w:rsid w:val="003A01D1"/>
    <w:rsid w:val="003A0EAF"/>
    <w:rsid w:val="003B4463"/>
    <w:rsid w:val="003F54C4"/>
    <w:rsid w:val="0040357F"/>
    <w:rsid w:val="00406415"/>
    <w:rsid w:val="004373B0"/>
    <w:rsid w:val="00440CA6"/>
    <w:rsid w:val="0045098A"/>
    <w:rsid w:val="00456FE7"/>
    <w:rsid w:val="005C139B"/>
    <w:rsid w:val="005E6425"/>
    <w:rsid w:val="005F0868"/>
    <w:rsid w:val="00617FAF"/>
    <w:rsid w:val="0063409A"/>
    <w:rsid w:val="006761C5"/>
    <w:rsid w:val="00680834"/>
    <w:rsid w:val="006C1EE9"/>
    <w:rsid w:val="0071579D"/>
    <w:rsid w:val="00765EF3"/>
    <w:rsid w:val="00777A5E"/>
    <w:rsid w:val="00793CBF"/>
    <w:rsid w:val="007C08A1"/>
    <w:rsid w:val="007F22E9"/>
    <w:rsid w:val="008153F4"/>
    <w:rsid w:val="00826048"/>
    <w:rsid w:val="008279BE"/>
    <w:rsid w:val="008315F8"/>
    <w:rsid w:val="008710EB"/>
    <w:rsid w:val="008A1C3B"/>
    <w:rsid w:val="00940941"/>
    <w:rsid w:val="00945AE2"/>
    <w:rsid w:val="00945CB5"/>
    <w:rsid w:val="00956E96"/>
    <w:rsid w:val="009863FD"/>
    <w:rsid w:val="009B2D40"/>
    <w:rsid w:val="00A0020C"/>
    <w:rsid w:val="00A36E5F"/>
    <w:rsid w:val="00A71EFF"/>
    <w:rsid w:val="00A837E3"/>
    <w:rsid w:val="00AD0ECC"/>
    <w:rsid w:val="00B4393D"/>
    <w:rsid w:val="00B51804"/>
    <w:rsid w:val="00B6681C"/>
    <w:rsid w:val="00B71535"/>
    <w:rsid w:val="00B75DC4"/>
    <w:rsid w:val="00B87BFD"/>
    <w:rsid w:val="00BC7104"/>
    <w:rsid w:val="00BE0EB6"/>
    <w:rsid w:val="00BF1781"/>
    <w:rsid w:val="00BF4EB8"/>
    <w:rsid w:val="00BF54CA"/>
    <w:rsid w:val="00C0512D"/>
    <w:rsid w:val="00C35B1F"/>
    <w:rsid w:val="00C81037"/>
    <w:rsid w:val="00CD6868"/>
    <w:rsid w:val="00D55D58"/>
    <w:rsid w:val="00D56E40"/>
    <w:rsid w:val="00D6033C"/>
    <w:rsid w:val="00D605AC"/>
    <w:rsid w:val="00D64180"/>
    <w:rsid w:val="00D67D25"/>
    <w:rsid w:val="00DE1496"/>
    <w:rsid w:val="00DE3F78"/>
    <w:rsid w:val="00E0078E"/>
    <w:rsid w:val="00E2554B"/>
    <w:rsid w:val="00E448E7"/>
    <w:rsid w:val="00E566E0"/>
    <w:rsid w:val="00E60071"/>
    <w:rsid w:val="00E87FA7"/>
    <w:rsid w:val="00E92397"/>
    <w:rsid w:val="00EE4934"/>
    <w:rsid w:val="00F23DE9"/>
    <w:rsid w:val="00F23F2E"/>
    <w:rsid w:val="00F4265C"/>
    <w:rsid w:val="00FD0EAA"/>
    <w:rsid w:val="00FE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E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109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109D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109D6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0109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0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F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22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22E9"/>
    <w:rPr>
      <w:rFonts w:cs="Times New Roman"/>
    </w:rPr>
  </w:style>
  <w:style w:type="character" w:styleId="PageNumber">
    <w:name w:val="page number"/>
    <w:basedOn w:val="DefaultParagraphFont"/>
    <w:uiPriority w:val="99"/>
    <w:rsid w:val="00617F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445</TotalTime>
  <Pages>12</Pages>
  <Words>3153</Words>
  <Characters>17973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Ачмиз Асиет Юсуфовна</dc:creator>
  <cp:keywords/>
  <dc:description/>
  <cp:lastModifiedBy>Sergey</cp:lastModifiedBy>
  <cp:revision>9</cp:revision>
  <cp:lastPrinted>2017-07-11T13:44:00Z</cp:lastPrinted>
  <dcterms:created xsi:type="dcterms:W3CDTF">2017-08-29T09:15:00Z</dcterms:created>
  <dcterms:modified xsi:type="dcterms:W3CDTF">2017-09-20T04:54:00Z</dcterms:modified>
</cp:coreProperties>
</file>