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E03D7" w:rsidRPr="00B046A7" w:rsidTr="00B71360">
        <w:trPr>
          <w:trHeight w:val="430"/>
        </w:trPr>
        <w:tc>
          <w:tcPr>
            <w:tcW w:w="4644" w:type="dxa"/>
          </w:tcPr>
          <w:p w:rsidR="007E03D7" w:rsidRPr="00B046A7" w:rsidRDefault="007E03D7" w:rsidP="00B046A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B046A7">
              <w:rPr>
                <w:rFonts w:ascii="Times New Roman" w:hAnsi="Times New Roman"/>
                <w:sz w:val="20"/>
                <w:szCs w:val="20"/>
              </w:rPr>
              <w:t>УДК 616-006.6</w:t>
            </w:r>
          </w:p>
          <w:p w:rsidR="007E03D7" w:rsidRPr="00B046A7" w:rsidRDefault="007E03D7" w:rsidP="00B046A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4" w:type="dxa"/>
          </w:tcPr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  <w:lang w:val="en-US"/>
              </w:rPr>
              <w:t>UDC</w:t>
            </w:r>
            <w:r w:rsidRPr="00B046A7">
              <w:rPr>
                <w:sz w:val="20"/>
                <w:szCs w:val="20"/>
              </w:rPr>
              <w:t xml:space="preserve"> 616-006.6</w:t>
            </w:r>
          </w:p>
        </w:tc>
      </w:tr>
      <w:tr w:rsidR="007E03D7" w:rsidRPr="00B046A7" w:rsidTr="00B71360">
        <w:trPr>
          <w:trHeight w:val="503"/>
        </w:trPr>
        <w:tc>
          <w:tcPr>
            <w:tcW w:w="4644" w:type="dxa"/>
          </w:tcPr>
          <w:p w:rsidR="007E03D7" w:rsidRPr="00B046A7" w:rsidRDefault="007E03D7" w:rsidP="00B04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14.00.</w:t>
            </w:r>
            <w:r w:rsidRPr="00B046A7">
              <w:rPr>
                <w:rFonts w:ascii="Times New Roman" w:hAnsi="Times New Roman"/>
                <w:sz w:val="20"/>
                <w:szCs w:val="20"/>
              </w:rPr>
              <w:t>00 Медицинские науки</w:t>
            </w:r>
          </w:p>
        </w:tc>
        <w:tc>
          <w:tcPr>
            <w:tcW w:w="4644" w:type="dxa"/>
          </w:tcPr>
          <w:p w:rsidR="007E03D7" w:rsidRPr="00B046A7" w:rsidRDefault="007E03D7" w:rsidP="00B04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46A7">
              <w:rPr>
                <w:rFonts w:ascii="Times New Roman" w:hAnsi="Times New Roman"/>
                <w:sz w:val="20"/>
                <w:szCs w:val="20"/>
                <w:lang w:val="en-US"/>
              </w:rPr>
              <w:t>Medical sciences</w:t>
            </w:r>
          </w:p>
        </w:tc>
      </w:tr>
      <w:tr w:rsidR="007E03D7" w:rsidRPr="00B046A7" w:rsidTr="00B71360">
        <w:trPr>
          <w:trHeight w:val="968"/>
        </w:trPr>
        <w:tc>
          <w:tcPr>
            <w:tcW w:w="4644" w:type="dxa"/>
          </w:tcPr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b/>
                <w:color w:val="000000"/>
                <w:sz w:val="20"/>
                <w:szCs w:val="20"/>
              </w:rPr>
            </w:pPr>
            <w:r w:rsidRPr="00B046A7">
              <w:rPr>
                <w:b/>
                <w:color w:val="000000"/>
                <w:sz w:val="20"/>
                <w:szCs w:val="20"/>
              </w:rPr>
              <w:t>РОЛЬ ФАКТОРОВ ТРАНСКРИПЦИИ И АНГИОГЕНЕЗА В ПАТОГЕНЕЗЕ ГНОЙНЫХ ПОСЛЕОПЕРАЦИОННЫХ ОСЛОЖНЕНИЙ У БОЛЬНЫХ РАКОМ СЛИЗИСТОЙ ОБОЛОЧКИ ПОЛОСТИ РТА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4644" w:type="dxa"/>
          </w:tcPr>
          <w:p w:rsidR="007E03D7" w:rsidRPr="000556F9" w:rsidRDefault="007E03D7" w:rsidP="00B046A7">
            <w:pPr>
              <w:pStyle w:val="NormalWeb"/>
              <w:spacing w:after="0" w:line="240" w:lineRule="auto"/>
              <w:contextualSpacing/>
              <w:rPr>
                <w:b/>
                <w:sz w:val="20"/>
                <w:szCs w:val="20"/>
                <w:lang w:val="en-US"/>
              </w:rPr>
            </w:pPr>
            <w:r w:rsidRPr="00B046A7">
              <w:rPr>
                <w:b/>
                <w:color w:val="000000"/>
                <w:sz w:val="20"/>
                <w:szCs w:val="20"/>
                <w:lang w:val="en-US"/>
              </w:rPr>
              <w:t>THE ROLE OF THE TRANSCRIPTION AND ANGIOGENESIS FACTORS IN THE PATHOGENESIS OF PURULENT POSTOPERATIVE COMPLICATIONS IN PATIENTS WITH ORAL MUCOSA CANCER</w:t>
            </w:r>
          </w:p>
        </w:tc>
      </w:tr>
      <w:tr w:rsidR="007E03D7" w:rsidRPr="00B046A7" w:rsidTr="00B71360">
        <w:trPr>
          <w:trHeight w:val="2117"/>
        </w:trPr>
        <w:tc>
          <w:tcPr>
            <w:tcW w:w="4644" w:type="dxa"/>
          </w:tcPr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Кит Олег Иванович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д.м.н., член-корр РАН, профессор, директор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РИНЦ SPIN-код: 1728-0329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 ID: 55994103100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Кононенко Владимир Иванович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 xml:space="preserve">к.м.н., доцент, заведующий кафедрой 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 xml:space="preserve">РИНЦ </w:t>
            </w:r>
            <w:r w:rsidRPr="00B046A7">
              <w:rPr>
                <w:sz w:val="20"/>
                <w:szCs w:val="20"/>
                <w:lang w:val="en-US"/>
              </w:rPr>
              <w:t>SPIN</w:t>
            </w:r>
            <w:r w:rsidRPr="00B046A7">
              <w:rPr>
                <w:sz w:val="20"/>
                <w:szCs w:val="20"/>
              </w:rPr>
              <w:t>-код: 8699-8320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Максюков Станислав Юрьевич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д.м.н., доцент, заведующий кафедрой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РИНЦ SPIN-код: 8542-8660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 ID: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Комарова Екатерина Федоровна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д.б.н., профессор РАН, главный научный сотрудник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</w:rPr>
              <w:t>РИНЦ</w:t>
            </w:r>
            <w:r w:rsidRPr="00B046A7">
              <w:rPr>
                <w:sz w:val="20"/>
                <w:szCs w:val="20"/>
                <w:lang w:val="en-US"/>
              </w:rPr>
              <w:t xml:space="preserve"> SPIN-</w:t>
            </w:r>
            <w:r w:rsidRPr="00B046A7">
              <w:rPr>
                <w:sz w:val="20"/>
                <w:szCs w:val="20"/>
              </w:rPr>
              <w:t>код</w:t>
            </w:r>
            <w:r w:rsidRPr="00B046A7">
              <w:rPr>
                <w:sz w:val="20"/>
                <w:szCs w:val="20"/>
                <w:lang w:val="en-US"/>
              </w:rPr>
              <w:t>: 1094-3139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 ID: 55890096600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Максимов Алексей Юрьевич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д.м.н., профессор, заместитель директора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 xml:space="preserve">РИНЦ </w:t>
            </w:r>
            <w:r w:rsidRPr="00B046A7">
              <w:rPr>
                <w:sz w:val="20"/>
                <w:szCs w:val="20"/>
                <w:lang w:val="en-US"/>
              </w:rPr>
              <w:t>SPIN</w:t>
            </w:r>
            <w:r w:rsidRPr="00B046A7">
              <w:rPr>
                <w:sz w:val="20"/>
                <w:szCs w:val="20"/>
              </w:rPr>
              <w:t xml:space="preserve">-код: 7322-5589 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Дашкова Ирина Рудольфовна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д.м.н., профессор РАН, главный научный сотрудник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Позднякова Виктория Вадимовна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д.м.н., профессор, ведущий научный сотрудник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РИНЦ SPIN-код: 7306-2034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 ID: 54380529400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Новикова Инна Арнольдовна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к.м.н., руководитель лаборатории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РИНЦ SPIN-код: 4810-2424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 ID: 7005153343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>Демидова Александра Александровна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 xml:space="preserve">к.м.н., доцент 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РИНЦ SPIN-код: 4014-8502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 ID: 7006838349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i/>
                <w:sz w:val="20"/>
                <w:szCs w:val="20"/>
              </w:rPr>
            </w:pPr>
            <w:r w:rsidRPr="00B046A7">
              <w:rPr>
                <w:i/>
                <w:sz w:val="20"/>
                <w:szCs w:val="20"/>
              </w:rPr>
              <w:t>ФГБУ "Ростовский научно-исследовательский онкологический институт" Министерства здравоохранения РФ, Россия, 344037, Ростов-на-Дону, ул. 14-я линия, 63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i/>
                <w:sz w:val="20"/>
                <w:szCs w:val="20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i/>
                <w:sz w:val="20"/>
                <w:szCs w:val="20"/>
                <w:lang w:val="en-US"/>
              </w:rPr>
            </w:pPr>
            <w:r w:rsidRPr="00B046A7">
              <w:rPr>
                <w:i/>
                <w:sz w:val="20"/>
                <w:szCs w:val="20"/>
              </w:rPr>
              <w:t>ФГБОУ ВО РостГМУ Минздрава России, Россия, 344022, Ростов-на-Дону, ул. Нахичеванский 29</w:t>
            </w:r>
          </w:p>
        </w:tc>
        <w:tc>
          <w:tcPr>
            <w:tcW w:w="4644" w:type="dxa"/>
          </w:tcPr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 xml:space="preserve">Kit Oleg Ivanovich 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Dr.Sci.</w:t>
            </w:r>
            <w:r w:rsidRPr="00B046A7">
              <w:rPr>
                <w:sz w:val="20"/>
                <w:szCs w:val="20"/>
                <w:lang w:val="en-US"/>
              </w:rPr>
              <w:t xml:space="preserve">Med., corresponding member of RAS, professor, director 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RSCI SPIN code: 1728-0329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 ID: 55994103100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Kononenko Vladimir Ivanovich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MD, assistant professor, head of department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RSCI SPIN code: 8699-8320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Maksyukov Stanislav Yur’evich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Dr. Sci. Med., assistant professor, head of department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RSCI SPIN code: 8542-8660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Komarova Ekaterina Fedorovna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Dr. Sci.Biol., professor RAS, Chief Researcher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RSCI SPIN code: 1094-3139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 ID: 55890096600</w:t>
            </w:r>
          </w:p>
          <w:p w:rsidR="007E03D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Maksimov Aleksey Yurievich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Dr. Sci. Med., professor, deputy director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RSCI SPIN-code: 7322-5589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Dashkova Irina Ryudol’fovna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Dr. Sci. Med., professor RAS, Leading Researcher</w:t>
            </w:r>
          </w:p>
          <w:p w:rsidR="007E03D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Pozdnyakova Victoria Vadimovna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Dr. Sci. Med., professor, Leading Researcher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RSCI SPIN code: 7306-2034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 ID: 54380529400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Novikova Inna Arnol’dovna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Cand.Med.Sci.,</w:t>
            </w:r>
            <w:r w:rsidRPr="00B046A7">
              <w:rPr>
                <w:sz w:val="20"/>
                <w:szCs w:val="20"/>
                <w:lang w:val="en-US"/>
              </w:rPr>
              <w:t xml:space="preserve"> head of laboratory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RSCI SPIN-code: 4810-2424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 ID: 7005153343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Demidova Alexandra Alexandrovna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Cand.Med.Sci.</w:t>
            </w:r>
            <w:r w:rsidRPr="00B046A7">
              <w:rPr>
                <w:sz w:val="20"/>
                <w:szCs w:val="20"/>
                <w:lang w:val="en-US"/>
              </w:rPr>
              <w:t>, assistant professor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RSCI</w:t>
            </w:r>
            <w:r w:rsidRPr="00B046A7">
              <w:rPr>
                <w:sz w:val="20"/>
                <w:szCs w:val="20"/>
                <w:lang w:val="en-US"/>
              </w:rPr>
              <w:t xml:space="preserve"> SPIN-</w:t>
            </w:r>
            <w:r>
              <w:rPr>
                <w:sz w:val="20"/>
                <w:szCs w:val="20"/>
                <w:lang w:val="en-US"/>
              </w:rPr>
              <w:t>code</w:t>
            </w:r>
            <w:r w:rsidRPr="00B046A7">
              <w:rPr>
                <w:sz w:val="20"/>
                <w:szCs w:val="20"/>
                <w:lang w:val="en-US"/>
              </w:rPr>
              <w:t>: 4014-8502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Scopus ID: 7006838349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i/>
                <w:sz w:val="20"/>
                <w:szCs w:val="20"/>
                <w:lang w:val="en-US"/>
              </w:rPr>
            </w:pPr>
            <w:r w:rsidRPr="00B046A7">
              <w:rPr>
                <w:i/>
                <w:sz w:val="20"/>
                <w:szCs w:val="20"/>
                <w:lang w:val="en-US"/>
              </w:rPr>
              <w:t>Rostov Research Institute of Oncology, Russia, 344037, Rostov-on-Don, 14-line 63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i/>
                <w:sz w:val="20"/>
                <w:szCs w:val="20"/>
                <w:lang w:val="en-US"/>
              </w:rPr>
            </w:pPr>
          </w:p>
          <w:p w:rsidR="007E03D7" w:rsidRPr="00B046A7" w:rsidRDefault="007E03D7" w:rsidP="00B046A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i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B046A7">
                  <w:rPr>
                    <w:rFonts w:ascii="Times New Roman" w:hAnsi="Times New Roman" w:cs="Times New Roman"/>
                    <w:i/>
                    <w:lang w:val="en-US"/>
                  </w:rPr>
                  <w:t>Rostov State Medical University</w:t>
                </w:r>
              </w:smartTag>
              <w:r w:rsidRPr="00B046A7">
                <w:rPr>
                  <w:rFonts w:ascii="Times New Roman" w:hAnsi="Times New Roman" w:cs="Times New Roman"/>
                  <w:i/>
                  <w:lang w:val="en-US"/>
                </w:rPr>
                <w:t xml:space="preserve">,  </w:t>
              </w:r>
              <w:smartTag w:uri="urn:schemas-microsoft-com:office:smarttags" w:element="country-region">
                <w:r w:rsidRPr="00B046A7">
                  <w:rPr>
                    <w:rFonts w:ascii="Times New Roman" w:hAnsi="Times New Roman" w:cs="Times New Roman"/>
                    <w:i/>
                    <w:lang w:val="en-US"/>
                  </w:rPr>
                  <w:t>Russia</w:t>
                </w:r>
              </w:smartTag>
            </w:smartTag>
            <w:r w:rsidRPr="00B046A7">
              <w:rPr>
                <w:rFonts w:ascii="Times New Roman" w:hAnsi="Times New Roman" w:cs="Times New Roman"/>
                <w:i/>
                <w:lang w:val="en-US"/>
              </w:rPr>
              <w:t>, 344022, Rostov-on-Don, Nakhichevansk</w:t>
            </w:r>
            <w:r>
              <w:rPr>
                <w:rFonts w:ascii="Times New Roman" w:hAnsi="Times New Roman" w:cs="Times New Roman"/>
                <w:i/>
                <w:lang w:val="en-US"/>
              </w:rPr>
              <w:t>aya</w:t>
            </w:r>
            <w:r w:rsidRPr="00B046A7">
              <w:rPr>
                <w:rFonts w:ascii="Times New Roman" w:hAnsi="Times New Roman" w:cs="Times New Roman"/>
                <w:i/>
                <w:lang w:val="en-US"/>
              </w:rPr>
              <w:t>, 29</w:t>
            </w:r>
          </w:p>
        </w:tc>
      </w:tr>
      <w:tr w:rsidR="007E03D7" w:rsidRPr="00B046A7" w:rsidTr="00B71360">
        <w:trPr>
          <w:trHeight w:val="693"/>
        </w:trPr>
        <w:tc>
          <w:tcPr>
            <w:tcW w:w="4644" w:type="dxa"/>
          </w:tcPr>
          <w:p w:rsidR="007E03D7" w:rsidRPr="00634A85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 xml:space="preserve">При изучении содержания гипоксия-индуцибельного фактора 1-альфа и васкулоэндотелиального ростового фактора  в ткани опухоли, ротовой жидкости и периферической крови 141 больного раком слизистой оболочки полости рта </w:t>
            </w:r>
            <w:r w:rsidRPr="00B046A7">
              <w:rPr>
                <w:sz w:val="20"/>
                <w:szCs w:val="20"/>
                <w:lang w:val="en-US"/>
              </w:rPr>
              <w:t>T</w:t>
            </w:r>
            <w:r w:rsidRPr="00B046A7">
              <w:rPr>
                <w:sz w:val="20"/>
                <w:szCs w:val="20"/>
              </w:rPr>
              <w:t>1-3</w:t>
            </w:r>
            <w:r w:rsidRPr="00B046A7">
              <w:rPr>
                <w:sz w:val="20"/>
                <w:szCs w:val="20"/>
                <w:lang w:val="en-US"/>
              </w:rPr>
              <w:t>N</w:t>
            </w:r>
            <w:r w:rsidRPr="00B046A7">
              <w:rPr>
                <w:sz w:val="20"/>
                <w:szCs w:val="20"/>
              </w:rPr>
              <w:t>0-2</w:t>
            </w:r>
            <w:r w:rsidRPr="00B046A7">
              <w:rPr>
                <w:sz w:val="20"/>
                <w:szCs w:val="20"/>
                <w:lang w:val="en-US"/>
              </w:rPr>
              <w:t>M</w:t>
            </w:r>
            <w:r w:rsidRPr="00B046A7">
              <w:rPr>
                <w:sz w:val="20"/>
                <w:szCs w:val="20"/>
              </w:rPr>
              <w:t xml:space="preserve">0 показано, что развитие гнойных воспалительных послеоперационных осложнений у больных раком СОПР сопряжено с повышением экспрессии в ткани </w:t>
            </w:r>
            <w:r w:rsidRPr="00B046A7">
              <w:rPr>
                <w:sz w:val="20"/>
                <w:szCs w:val="20"/>
                <w:lang w:val="en-US"/>
              </w:rPr>
              <w:t>HIF</w:t>
            </w:r>
            <w:r w:rsidRPr="00B046A7">
              <w:rPr>
                <w:sz w:val="20"/>
                <w:szCs w:val="20"/>
              </w:rPr>
              <w:t>-1</w:t>
            </w:r>
            <w:r w:rsidRPr="00B046A7">
              <w:rPr>
                <w:sz w:val="20"/>
                <w:szCs w:val="20"/>
                <w:lang w:val="en-US"/>
              </w:rPr>
              <w:sym w:font="Symbol" w:char="F061"/>
            </w:r>
            <w:r w:rsidRPr="00B046A7">
              <w:rPr>
                <w:sz w:val="20"/>
                <w:szCs w:val="20"/>
              </w:rPr>
              <w:t xml:space="preserve"> и его перемещение из цитоплазмы в ядро, активация процессов неоангиогенеза. Информативным является определение </w:t>
            </w:r>
            <w:r w:rsidRPr="00B046A7">
              <w:rPr>
                <w:sz w:val="20"/>
                <w:szCs w:val="20"/>
                <w:lang w:val="en-US"/>
              </w:rPr>
              <w:t>HIF</w:t>
            </w:r>
            <w:r w:rsidRPr="00B046A7">
              <w:rPr>
                <w:sz w:val="20"/>
                <w:szCs w:val="20"/>
              </w:rPr>
              <w:t>-1</w:t>
            </w:r>
            <w:r w:rsidRPr="00B046A7">
              <w:rPr>
                <w:sz w:val="20"/>
                <w:szCs w:val="20"/>
                <w:lang w:val="en-US"/>
              </w:rPr>
              <w:sym w:font="Symbol" w:char="F061"/>
            </w:r>
            <w:r w:rsidRPr="00B046A7">
              <w:rPr>
                <w:sz w:val="20"/>
                <w:szCs w:val="20"/>
              </w:rPr>
              <w:t xml:space="preserve"> фактора в сыворотке крови, что, при дальнейшей разработке, может быть использовано как неинвазивный диагностический маркер для прогнозирования течения послеоперационного п</w:t>
            </w:r>
            <w:r>
              <w:rPr>
                <w:sz w:val="20"/>
                <w:szCs w:val="20"/>
              </w:rPr>
              <w:t>ериода у этой категории больных</w:t>
            </w:r>
          </w:p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644" w:type="dxa"/>
          </w:tcPr>
          <w:p w:rsidR="007E03D7" w:rsidRPr="00B046A7" w:rsidRDefault="007E03D7" w:rsidP="00B046A7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46A7">
              <w:rPr>
                <w:rFonts w:ascii="Times New Roman" w:hAnsi="Times New Roman"/>
                <w:sz w:val="20"/>
                <w:szCs w:val="20"/>
                <w:lang w:val="en-US"/>
              </w:rPr>
              <w:t>While studying the content of hypoxia-inducible factor 1-alpha and vascular endothelial growth factor in the tumor tissue, oral fluid and peripheral blood of 141 patients with oral mucosa cancer T1-3N0-2M0, it was shown that the development of purulent inflammatory postoperative complications in patients with oral mucosa cancer is associated with an increased expression of HIF-1</w:t>
            </w:r>
            <w:r w:rsidRPr="00B046A7">
              <w:rPr>
                <w:rFonts w:ascii="Times New Roman" w:hAnsi="Times New Roman"/>
                <w:sz w:val="20"/>
                <w:szCs w:val="20"/>
                <w:lang w:val="en-US"/>
              </w:rPr>
              <w:sym w:font="Symbol" w:char="F061"/>
            </w:r>
            <w:r w:rsidRPr="00B046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tissue and its translocation from the cytoplasm to the nucleus, activation of the neoangiogenesis processes. It is informative to determine HIF-1</w:t>
            </w:r>
            <w:r w:rsidRPr="00B046A7">
              <w:rPr>
                <w:rFonts w:ascii="Times New Roman" w:hAnsi="Times New Roman"/>
                <w:sz w:val="20"/>
                <w:szCs w:val="20"/>
                <w:lang w:val="en-US"/>
              </w:rPr>
              <w:sym w:font="Symbol" w:char="F061"/>
            </w:r>
            <w:r w:rsidRPr="00B046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factor in the blood serum, which, for further development, can be used as a non-invasive diagnostic marker to predict the postoperative cour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se in this category of patients</w:t>
            </w:r>
          </w:p>
          <w:p w:rsidR="007E03D7" w:rsidRPr="00B046A7" w:rsidRDefault="007E03D7" w:rsidP="00B046A7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  <w:lang w:val="en-US"/>
              </w:rPr>
            </w:pPr>
          </w:p>
        </w:tc>
      </w:tr>
      <w:tr w:rsidR="007E03D7" w:rsidRPr="00B046A7" w:rsidTr="00B71360">
        <w:tc>
          <w:tcPr>
            <w:tcW w:w="4644" w:type="dxa"/>
          </w:tcPr>
          <w:p w:rsidR="007E03D7" w:rsidRPr="00634A85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</w:rPr>
            </w:pPr>
            <w:r w:rsidRPr="00B046A7">
              <w:rPr>
                <w:sz w:val="20"/>
                <w:szCs w:val="20"/>
              </w:rPr>
              <w:t xml:space="preserve">Ключевые слова: РАК СЛИЗИСТОЙ ОБОЛОЧКИ ПОЛОСТИ РТА, ГНОЙНЫЕ ПОСЛЕОПЕРАЦИОННЫЕ  ОСЛОЖНЕНИЯ, </w:t>
            </w:r>
            <w:r w:rsidRPr="00B046A7">
              <w:rPr>
                <w:sz w:val="20"/>
                <w:szCs w:val="20"/>
                <w:lang w:val="en-US"/>
              </w:rPr>
              <w:t>HIF</w:t>
            </w:r>
            <w:r w:rsidRPr="00B046A7">
              <w:rPr>
                <w:sz w:val="20"/>
                <w:szCs w:val="20"/>
              </w:rPr>
              <w:t>-1</w:t>
            </w:r>
            <w:r w:rsidRPr="00B046A7">
              <w:rPr>
                <w:sz w:val="20"/>
                <w:szCs w:val="20"/>
                <w:lang w:val="en-US"/>
              </w:rPr>
              <w:t>Α</w:t>
            </w:r>
            <w:r>
              <w:rPr>
                <w:sz w:val="20"/>
                <w:szCs w:val="20"/>
              </w:rPr>
              <w:t xml:space="preserve">, </w:t>
            </w:r>
            <w:r w:rsidRPr="00B046A7">
              <w:rPr>
                <w:sz w:val="20"/>
                <w:szCs w:val="20"/>
                <w:lang w:val="en-US"/>
              </w:rPr>
              <w:t>VEGF</w:t>
            </w:r>
            <w:r w:rsidRPr="00B046A7">
              <w:rPr>
                <w:sz w:val="20"/>
                <w:szCs w:val="20"/>
              </w:rPr>
              <w:t>, ТКАНЬ ОПУХОЛИ, РОТОВАЯ</w:t>
            </w:r>
            <w:r>
              <w:rPr>
                <w:sz w:val="20"/>
                <w:szCs w:val="20"/>
              </w:rPr>
              <w:t xml:space="preserve"> ЖИДКОСТЬ, ПЕРИФЕРИЧЕСКАЯ КРОВЬ</w:t>
            </w:r>
          </w:p>
          <w:p w:rsidR="007E03D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</w:p>
          <w:p w:rsidR="007E03D7" w:rsidRPr="009865C8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92808">
              <w:rPr>
                <w:rFonts w:ascii="Arial" w:hAnsi="Arial" w:cs="Arial"/>
                <w:b/>
                <w:caps/>
                <w:sz w:val="20"/>
                <w:szCs w:val="20"/>
              </w:rPr>
              <w:t>D</w:t>
            </w:r>
            <w:r w:rsidRPr="00B92808">
              <w:rPr>
                <w:rFonts w:ascii="Arial" w:hAnsi="Arial" w:cs="Arial"/>
                <w:b/>
                <w:sz w:val="20"/>
                <w:szCs w:val="20"/>
              </w:rPr>
              <w:t>oi</w:t>
            </w:r>
            <w:r w:rsidRPr="00B92808">
              <w:rPr>
                <w:rFonts w:ascii="Arial" w:hAnsi="Arial" w:cs="Arial"/>
                <w:b/>
                <w:caps/>
                <w:sz w:val="20"/>
                <w:szCs w:val="20"/>
              </w:rPr>
              <w:t>: 10.21515/1990-4665-128-0</w:t>
            </w:r>
            <w:r>
              <w:rPr>
                <w:rFonts w:ascii="Arial" w:hAnsi="Arial" w:cs="Arial"/>
                <w:b/>
                <w:caps/>
                <w:sz w:val="20"/>
                <w:szCs w:val="20"/>
                <w:lang w:val="en-US"/>
              </w:rPr>
              <w:t>23</w:t>
            </w:r>
          </w:p>
        </w:tc>
        <w:tc>
          <w:tcPr>
            <w:tcW w:w="4644" w:type="dxa"/>
          </w:tcPr>
          <w:p w:rsidR="007E03D7" w:rsidRPr="00B046A7" w:rsidRDefault="007E03D7" w:rsidP="00B046A7">
            <w:pPr>
              <w:pStyle w:val="NormalWeb"/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B046A7">
              <w:rPr>
                <w:sz w:val="20"/>
                <w:szCs w:val="20"/>
                <w:lang w:val="en-US"/>
              </w:rPr>
              <w:t>Keywords: ORAL MUCOSA CANCER, PURULENT POSTOPERATIVE COMPLICATIONS, HIF-1</w:t>
            </w:r>
            <w:r w:rsidRPr="00B046A7">
              <w:rPr>
                <w:sz w:val="20"/>
                <w:szCs w:val="20"/>
                <w:lang w:val="en-US"/>
              </w:rPr>
              <w:sym w:font="Symbol" w:char="F061"/>
            </w:r>
            <w:r w:rsidRPr="00B046A7">
              <w:rPr>
                <w:sz w:val="20"/>
                <w:szCs w:val="20"/>
                <w:lang w:val="en-US"/>
              </w:rPr>
              <w:t>,  VEGF, TUMOUR TISSU</w:t>
            </w:r>
            <w:r>
              <w:rPr>
                <w:sz w:val="20"/>
                <w:szCs w:val="20"/>
                <w:lang w:val="en-US"/>
              </w:rPr>
              <w:t>E, ORAL FLUID, PERIPHERAL BLOOD</w:t>
            </w:r>
          </w:p>
        </w:tc>
      </w:tr>
    </w:tbl>
    <w:p w:rsidR="007E03D7" w:rsidRPr="00425F8E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7E03D7" w:rsidRPr="00644AE5" w:rsidRDefault="007E03D7" w:rsidP="00DD0F15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4AE5">
        <w:rPr>
          <w:rFonts w:ascii="Times New Roman" w:hAnsi="Times New Roman"/>
          <w:b/>
          <w:sz w:val="28"/>
          <w:szCs w:val="28"/>
        </w:rPr>
        <w:t>Введение.</w:t>
      </w:r>
    </w:p>
    <w:p w:rsidR="007E03D7" w:rsidRPr="00644AE5" w:rsidRDefault="007E03D7" w:rsidP="00644AE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color w:val="231F20"/>
          <w:sz w:val="28"/>
          <w:szCs w:val="28"/>
        </w:rPr>
        <w:t>В настоящее время существуют сведения о диагностической значимости для прогнозирования течения рака слизистой оболочки полости рта (СОПР)</w:t>
      </w:r>
      <w:r w:rsidRPr="00A1389E">
        <w:rPr>
          <w:rFonts w:ascii="Times New Roman" w:hAnsi="Times New Roman"/>
          <w:color w:val="231F20"/>
          <w:sz w:val="28"/>
          <w:szCs w:val="28"/>
        </w:rPr>
        <w:t xml:space="preserve"> </w:t>
      </w:r>
      <w:r w:rsidRPr="00644AE5">
        <w:rPr>
          <w:rFonts w:ascii="Times New Roman" w:hAnsi="Times New Roman"/>
          <w:color w:val="231F20"/>
          <w:sz w:val="28"/>
          <w:szCs w:val="28"/>
        </w:rPr>
        <w:t xml:space="preserve">кислород-зависимых факторов, которые активируются при гипоксии и запускают в дальнейшем транскрипционную коактивацию в клетках </w:t>
      </w:r>
      <w:r w:rsidRPr="004E004F">
        <w:rPr>
          <w:rFonts w:ascii="Times New Roman" w:hAnsi="Times New Roman"/>
          <w:color w:val="231F20"/>
          <w:sz w:val="28"/>
          <w:szCs w:val="28"/>
        </w:rPr>
        <w:t>[1]</w:t>
      </w:r>
      <w:r w:rsidRPr="00644AE5">
        <w:rPr>
          <w:rFonts w:ascii="Times New Roman" w:hAnsi="Times New Roman"/>
          <w:color w:val="231F20"/>
          <w:sz w:val="28"/>
          <w:szCs w:val="28"/>
        </w:rPr>
        <w:t xml:space="preserve">. Известно, что </w:t>
      </w:r>
      <w:r w:rsidRPr="00644AE5">
        <w:rPr>
          <w:rFonts w:ascii="Times New Roman" w:hAnsi="Times New Roman"/>
          <w:sz w:val="28"/>
          <w:szCs w:val="28"/>
        </w:rPr>
        <w:t>гипоксия индуцибельный транскрипционный фактор 1-альфа (HIF-1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>), активируясь в физиологически важных местах регуляции кислородных путей, обеспечивает ответы на гипоксический стресс и  включает гены, регулирующие процесс ангиогенеза и апоптоза  [</w:t>
      </w:r>
      <w:r w:rsidRPr="004E004F">
        <w:rPr>
          <w:rFonts w:ascii="Times New Roman" w:hAnsi="Times New Roman"/>
          <w:sz w:val="28"/>
          <w:szCs w:val="28"/>
        </w:rPr>
        <w:t>3</w:t>
      </w:r>
      <w:r w:rsidRPr="00644AE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5</w:t>
      </w:r>
      <w:r w:rsidRPr="004E004F">
        <w:rPr>
          <w:rFonts w:ascii="Times New Roman" w:hAnsi="Times New Roman"/>
          <w:sz w:val="28"/>
          <w:szCs w:val="28"/>
        </w:rPr>
        <w:t>, 7, 9</w:t>
      </w:r>
      <w:r w:rsidRPr="00644AE5">
        <w:rPr>
          <w:rFonts w:ascii="Times New Roman" w:hAnsi="Times New Roman"/>
          <w:sz w:val="28"/>
          <w:szCs w:val="28"/>
        </w:rPr>
        <w:t xml:space="preserve">]. </w:t>
      </w: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8"/>
        </w:rPr>
      </w:pPr>
      <w:r w:rsidRPr="00644AE5">
        <w:rPr>
          <w:rFonts w:ascii="Times New Roman" w:eastAsia="MyriadPro-It" w:hAnsi="Times New Roman"/>
          <w:iCs/>
          <w:color w:val="000000"/>
          <w:sz w:val="28"/>
          <w:szCs w:val="28"/>
        </w:rPr>
        <w:t xml:space="preserve">Посредством стимуляции соответствующих генов </w:t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  <w:lang w:val="en-US"/>
        </w:rPr>
        <w:t>HIF</w:t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</w:rPr>
        <w:t>-</w:t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  <w:lang w:val="en-US"/>
        </w:rPr>
        <w:sym w:font="Symbol" w:char="F061"/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</w:rPr>
        <w:t xml:space="preserve"> при гипоксии играет ключевую роль в усилении продукции  васкулоэндотелиального фактора роста (</w:t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  <w:lang w:val="en-US"/>
        </w:rPr>
        <w:t>VEGF</w:t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</w:rPr>
        <w:t xml:space="preserve">) </w:t>
      </w:r>
      <w:r w:rsidRPr="004E004F">
        <w:rPr>
          <w:rFonts w:ascii="Times New Roman" w:eastAsia="MyriadPro-It" w:hAnsi="Times New Roman"/>
          <w:iCs/>
          <w:color w:val="000000"/>
          <w:sz w:val="28"/>
          <w:szCs w:val="28"/>
        </w:rPr>
        <w:t xml:space="preserve">[4,6]. </w:t>
      </w:r>
      <w:r w:rsidRPr="00644AE5">
        <w:rPr>
          <w:rFonts w:ascii="Times New Roman" w:eastAsia="Times-Roman" w:hAnsi="Times New Roman"/>
          <w:color w:val="000000"/>
          <w:sz w:val="28"/>
          <w:szCs w:val="28"/>
        </w:rPr>
        <w:t xml:space="preserve">Удаление HIF1α гена или нарушение транскрипции HIF1α приводит к отсутствию VEGF секреции клетками опухоли. В результате подавляется ангиогенез и задерживается рост солидных опухолей </w:t>
      </w:r>
      <w:r w:rsidRPr="004E004F">
        <w:rPr>
          <w:rFonts w:ascii="Times New Roman" w:eastAsia="Times-Roman" w:hAnsi="Times New Roman"/>
          <w:color w:val="000000"/>
          <w:sz w:val="28"/>
          <w:szCs w:val="28"/>
        </w:rPr>
        <w:t xml:space="preserve">[4]. </w:t>
      </w:r>
      <w:r w:rsidRPr="00644AE5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644AE5">
        <w:rPr>
          <w:rFonts w:ascii="Times New Roman" w:eastAsia="Times-Roman" w:hAnsi="Times New Roman"/>
          <w:color w:val="000000"/>
          <w:sz w:val="28"/>
          <w:szCs w:val="28"/>
          <w:lang w:val="en-US"/>
        </w:rPr>
        <w:t>Shang</w:t>
      </w:r>
      <w:r w:rsidRPr="00644AE5">
        <w:rPr>
          <w:rFonts w:ascii="Times New Roman" w:eastAsia="Times-Roman" w:hAnsi="Times New Roman"/>
          <w:color w:val="000000"/>
          <w:sz w:val="28"/>
          <w:szCs w:val="28"/>
        </w:rPr>
        <w:t xml:space="preserve"> </w:t>
      </w:r>
      <w:r w:rsidRPr="00644AE5">
        <w:rPr>
          <w:rFonts w:ascii="Times New Roman" w:eastAsia="Times-Roman" w:hAnsi="Times New Roman"/>
          <w:color w:val="000000"/>
          <w:sz w:val="28"/>
          <w:szCs w:val="28"/>
          <w:lang w:val="en-US"/>
        </w:rPr>
        <w:t>Z</w:t>
      </w:r>
      <w:r w:rsidRPr="00644AE5">
        <w:rPr>
          <w:rFonts w:ascii="Times New Roman" w:eastAsia="Times-Roman" w:hAnsi="Times New Roman"/>
          <w:color w:val="000000"/>
          <w:sz w:val="28"/>
          <w:szCs w:val="28"/>
        </w:rPr>
        <w:t>.</w:t>
      </w:r>
      <w:r w:rsidRPr="00644AE5">
        <w:rPr>
          <w:rFonts w:ascii="Times New Roman" w:eastAsia="Times-Roman" w:hAnsi="Times New Roman"/>
          <w:color w:val="000000"/>
          <w:sz w:val="28"/>
          <w:szCs w:val="28"/>
          <w:lang w:val="en-US"/>
        </w:rPr>
        <w:t>J</w:t>
      </w:r>
      <w:r w:rsidRPr="00644AE5">
        <w:rPr>
          <w:rFonts w:ascii="Times New Roman" w:eastAsia="Times-Roman" w:hAnsi="Times New Roman"/>
          <w:color w:val="000000"/>
          <w:sz w:val="28"/>
          <w:szCs w:val="28"/>
        </w:rPr>
        <w:t xml:space="preserve">. </w:t>
      </w:r>
      <w:r w:rsidRPr="00644AE5">
        <w:rPr>
          <w:rFonts w:ascii="Times New Roman" w:eastAsia="Times-Italic" w:hAnsi="Times New Roman"/>
          <w:iCs/>
          <w:color w:val="000000"/>
          <w:sz w:val="28"/>
          <w:szCs w:val="28"/>
          <w:lang w:val="en-US"/>
        </w:rPr>
        <w:t>et</w:t>
      </w:r>
      <w:r w:rsidRPr="00644AE5">
        <w:rPr>
          <w:rFonts w:ascii="Times New Roman" w:eastAsia="Times-Italic" w:hAnsi="Times New Roman"/>
          <w:iCs/>
          <w:color w:val="000000"/>
          <w:sz w:val="28"/>
          <w:szCs w:val="28"/>
        </w:rPr>
        <w:t xml:space="preserve"> </w:t>
      </w:r>
      <w:r w:rsidRPr="00644AE5">
        <w:rPr>
          <w:rFonts w:ascii="Times New Roman" w:eastAsia="Times-Italic" w:hAnsi="Times New Roman"/>
          <w:iCs/>
          <w:color w:val="000000"/>
          <w:sz w:val="28"/>
          <w:szCs w:val="28"/>
          <w:lang w:val="en-US"/>
        </w:rPr>
        <w:t>al</w:t>
      </w:r>
      <w:r w:rsidRPr="00644AE5">
        <w:rPr>
          <w:rFonts w:ascii="Times New Roman" w:eastAsia="Times-Italic" w:hAnsi="Times New Roman"/>
          <w:iCs/>
          <w:color w:val="000000"/>
          <w:sz w:val="28"/>
          <w:szCs w:val="28"/>
        </w:rPr>
        <w:t xml:space="preserve">. </w:t>
      </w:r>
      <w:r w:rsidRPr="004E004F">
        <w:rPr>
          <w:rFonts w:ascii="Times New Roman" w:eastAsia="Times-Italic" w:hAnsi="Times New Roman"/>
          <w:iCs/>
          <w:color w:val="000000"/>
          <w:sz w:val="28"/>
          <w:szCs w:val="28"/>
        </w:rPr>
        <w:t>[10]</w:t>
      </w:r>
      <w:r w:rsidRPr="00644AE5">
        <w:rPr>
          <w:rFonts w:ascii="Times New Roman" w:eastAsia="Times-Italic" w:hAnsi="Times New Roman"/>
          <w:iCs/>
          <w:color w:val="000000"/>
          <w:sz w:val="28"/>
          <w:szCs w:val="28"/>
        </w:rPr>
        <w:t xml:space="preserve">( также было доказано, что продукция </w:t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  <w:lang w:val="en-US"/>
        </w:rPr>
        <w:t>VEGF</w:t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</w:rPr>
        <w:t xml:space="preserve"> клетками плоскоклеточной карциномы СОПР зависит от уровня рО</w:t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  <w:vertAlign w:val="subscript"/>
        </w:rPr>
        <w:t>2</w:t>
      </w:r>
      <w:r w:rsidRPr="00644AE5">
        <w:rPr>
          <w:rFonts w:ascii="Times New Roman" w:eastAsia="MyriadPro-It" w:hAnsi="Times New Roman"/>
          <w:iCs/>
          <w:color w:val="000000"/>
          <w:sz w:val="28"/>
          <w:szCs w:val="28"/>
        </w:rPr>
        <w:t xml:space="preserve"> в ткани.</w:t>
      </w:r>
      <w:r w:rsidRPr="00644AE5">
        <w:rPr>
          <w:rFonts w:ascii="Times New Roman" w:hAnsi="Times New Roman"/>
          <w:color w:val="231F20"/>
          <w:sz w:val="28"/>
          <w:szCs w:val="28"/>
        </w:rPr>
        <w:t xml:space="preserve"> </w:t>
      </w: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231F20"/>
          <w:sz w:val="28"/>
          <w:szCs w:val="28"/>
        </w:rPr>
      </w:pPr>
      <w:r w:rsidRPr="00644AE5">
        <w:rPr>
          <w:rFonts w:ascii="Times New Roman" w:hAnsi="Times New Roman"/>
          <w:color w:val="231F20"/>
          <w:sz w:val="28"/>
          <w:szCs w:val="28"/>
        </w:rPr>
        <w:t>Кроме того, повышенная активность HIF-1</w:t>
      </w:r>
      <w:r w:rsidRPr="00644AE5">
        <w:rPr>
          <w:rFonts w:ascii="Times New Roman" w:hAnsi="Times New Roman"/>
          <w:color w:val="231F20"/>
          <w:sz w:val="28"/>
          <w:szCs w:val="28"/>
        </w:rPr>
        <w:sym w:font="Symbol" w:char="F061"/>
      </w:r>
      <w:r w:rsidRPr="00644AE5">
        <w:rPr>
          <w:rFonts w:ascii="Times New Roman" w:hAnsi="Times New Roman"/>
          <w:color w:val="231F20"/>
          <w:sz w:val="28"/>
          <w:szCs w:val="28"/>
        </w:rPr>
        <w:t xml:space="preserve"> содействует синтезу защитных факторов биологических жидкостей и увеличивает их бактерицидную активность, обеспечивает усиление реакций врожденного иммунитета на микробную инфекцию </w:t>
      </w:r>
      <w:r w:rsidRPr="004E004F">
        <w:rPr>
          <w:rFonts w:ascii="Times New Roman" w:hAnsi="Times New Roman"/>
          <w:color w:val="231F20"/>
          <w:sz w:val="28"/>
          <w:szCs w:val="28"/>
        </w:rPr>
        <w:t>[2</w:t>
      </w:r>
      <w:r>
        <w:rPr>
          <w:rFonts w:ascii="Times New Roman" w:hAnsi="Times New Roman"/>
          <w:color w:val="231F20"/>
          <w:sz w:val="28"/>
          <w:szCs w:val="28"/>
        </w:rPr>
        <w:t>,</w:t>
      </w:r>
      <w:r w:rsidRPr="004E004F">
        <w:rPr>
          <w:rFonts w:ascii="Times New Roman" w:hAnsi="Times New Roman"/>
          <w:color w:val="231F20"/>
          <w:sz w:val="28"/>
          <w:szCs w:val="28"/>
        </w:rPr>
        <w:t xml:space="preserve">9,11]. </w:t>
      </w:r>
    </w:p>
    <w:p w:rsidR="007E03D7" w:rsidRPr="00644AE5" w:rsidRDefault="007E03D7" w:rsidP="00644AE5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>Такая тесная взаимозависимость всех описанных выше факторов определила цель нашего исследования в выявлении участия</w:t>
      </w:r>
      <w:r w:rsidRPr="00644AE5">
        <w:rPr>
          <w:rFonts w:ascii="Times New Roman" w:hAnsi="Times New Roman"/>
          <w:b/>
          <w:sz w:val="28"/>
          <w:szCs w:val="28"/>
        </w:rPr>
        <w:t xml:space="preserve">  </w:t>
      </w:r>
      <w:r w:rsidRPr="00644AE5">
        <w:rPr>
          <w:rFonts w:ascii="Times New Roman" w:hAnsi="Times New Roman"/>
          <w:color w:val="231F20"/>
          <w:sz w:val="28"/>
          <w:szCs w:val="28"/>
        </w:rPr>
        <w:t>HIF-1</w:t>
      </w:r>
      <w:r w:rsidRPr="00644AE5">
        <w:rPr>
          <w:rFonts w:ascii="Times New Roman" w:hAnsi="Times New Roman"/>
          <w:color w:val="231F20"/>
          <w:sz w:val="28"/>
          <w:szCs w:val="28"/>
        </w:rPr>
        <w:sym w:font="Symbol" w:char="F061"/>
      </w:r>
      <w:r w:rsidRPr="00644AE5">
        <w:rPr>
          <w:rFonts w:ascii="Times New Roman" w:hAnsi="Times New Roman"/>
          <w:color w:val="231F20"/>
          <w:sz w:val="28"/>
          <w:szCs w:val="28"/>
        </w:rPr>
        <w:t xml:space="preserve"> и </w:t>
      </w:r>
      <w:r w:rsidRPr="00644AE5">
        <w:rPr>
          <w:rFonts w:ascii="Times New Roman" w:eastAsia="Times-Roman" w:hAnsi="Times New Roman"/>
          <w:color w:val="000000"/>
          <w:sz w:val="28"/>
          <w:szCs w:val="28"/>
        </w:rPr>
        <w:t xml:space="preserve">VEGF в развитии гнойных послеоперационных осложнениях у больных раком слизистой оболочки полости рта. </w:t>
      </w:r>
    </w:p>
    <w:p w:rsidR="007E03D7" w:rsidRPr="00644AE5" w:rsidRDefault="007E03D7" w:rsidP="00644AE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b/>
          <w:sz w:val="28"/>
          <w:szCs w:val="28"/>
        </w:rPr>
        <w:t>Материалы и методы</w:t>
      </w:r>
      <w:r w:rsidRPr="00644AE5">
        <w:rPr>
          <w:rFonts w:ascii="Times New Roman" w:hAnsi="Times New Roman"/>
          <w:sz w:val="28"/>
          <w:szCs w:val="28"/>
        </w:rPr>
        <w:t>.</w:t>
      </w:r>
      <w:r w:rsidRPr="00644AE5">
        <w:rPr>
          <w:rFonts w:ascii="Times New Roman" w:hAnsi="Times New Roman"/>
          <w:i/>
          <w:sz w:val="28"/>
          <w:szCs w:val="28"/>
        </w:rPr>
        <w:t xml:space="preserve"> </w:t>
      </w:r>
      <w:r w:rsidRPr="00644AE5">
        <w:rPr>
          <w:rFonts w:ascii="Times New Roman" w:hAnsi="Times New Roman"/>
          <w:sz w:val="28"/>
          <w:szCs w:val="28"/>
        </w:rPr>
        <w:t>В исследование были включены  141 больной раком слизистой оболочки полости рта  T1-3N0-2M0 стадии процесса.  Средний возраст больных составил 50,5±4,4 лет.  У всех пациентов, включенных в работу, диагноз плоскоклеточного рака слизистой оболочки полости рта был подтвержден при гистологическом исследовании  биопсийного материала. Проведение данной работы было одобрено этическим комитетом ФГБУ «РНИОИ» МЗ РФ. В каждом конкретном случае было получено добровольное информированное согласие больных на использование материалов для проведения научных исследований.</w:t>
      </w: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4AE5">
        <w:rPr>
          <w:rFonts w:ascii="Times New Roman" w:hAnsi="Times New Roman"/>
          <w:color w:val="000000"/>
          <w:sz w:val="28"/>
          <w:szCs w:val="28"/>
        </w:rPr>
        <w:t xml:space="preserve">Больные были разделены на 2 группы, у которых в послеоперационном периоде </w:t>
      </w:r>
      <w:r w:rsidRPr="00644A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развивались гнойно-воспалительные осложнения (некроз </w:t>
      </w:r>
      <w:r w:rsidRPr="00644AE5">
        <w:rPr>
          <w:rFonts w:ascii="Times New Roman" w:eastAsia="TimesNewRomanPSMT" w:hAnsi="Times New Roman"/>
          <w:color w:val="000000"/>
          <w:sz w:val="28"/>
          <w:szCs w:val="28"/>
        </w:rPr>
        <w:t xml:space="preserve">мышечного или кожно-жирового лоскута, используемого для пластики, остеомиелит нижней челюсти, флегмона нижней челюсти) -  </w:t>
      </w:r>
      <w:r w:rsidRPr="00644AE5">
        <w:rPr>
          <w:rFonts w:ascii="Times New Roman" w:hAnsi="Times New Roman"/>
          <w:color w:val="000000"/>
          <w:sz w:val="28"/>
          <w:szCs w:val="28"/>
          <w:lang w:eastAsia="ru-RU"/>
        </w:rPr>
        <w:t>основная группа (</w:t>
      </w:r>
      <w:r w:rsidRPr="00644AE5">
        <w:rPr>
          <w:rFonts w:ascii="Times New Roman" w:hAnsi="Times New Roman"/>
          <w:color w:val="000000"/>
          <w:sz w:val="28"/>
          <w:szCs w:val="28"/>
          <w:lang w:val="en-US" w:eastAsia="ru-RU"/>
        </w:rPr>
        <w:t>n</w:t>
      </w:r>
      <w:r w:rsidRPr="00644AE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=96) </w:t>
      </w:r>
      <w:r w:rsidRPr="00644AE5">
        <w:rPr>
          <w:rFonts w:ascii="Times New Roman" w:eastAsia="TimesNewRomanPSMT" w:hAnsi="Times New Roman"/>
          <w:color w:val="000000"/>
          <w:sz w:val="28"/>
          <w:szCs w:val="28"/>
        </w:rPr>
        <w:t>и послеоперационный период протекал без гнойно-септических осложнений  - группа сравнения (</w:t>
      </w:r>
      <w:r w:rsidRPr="00644AE5">
        <w:rPr>
          <w:rFonts w:ascii="Times New Roman" w:eastAsia="TimesNewRomanPSMT" w:hAnsi="Times New Roman"/>
          <w:color w:val="000000"/>
          <w:sz w:val="28"/>
          <w:szCs w:val="28"/>
          <w:lang w:val="en-US"/>
        </w:rPr>
        <w:t>n</w:t>
      </w:r>
      <w:r w:rsidRPr="00644AE5">
        <w:rPr>
          <w:rFonts w:ascii="Times New Roman" w:eastAsia="TimesNewRomanPSMT" w:hAnsi="Times New Roman"/>
          <w:color w:val="000000"/>
          <w:sz w:val="28"/>
          <w:szCs w:val="28"/>
        </w:rPr>
        <w:t xml:space="preserve">=45).  </w:t>
      </w:r>
      <w:r w:rsidRPr="00644AE5">
        <w:rPr>
          <w:rFonts w:ascii="Times New Roman" w:hAnsi="Times New Roman"/>
          <w:sz w:val="28"/>
          <w:szCs w:val="28"/>
          <w:lang w:eastAsia="ru-RU"/>
        </w:rPr>
        <w:t>Группу здоровых доноров составили 35 пациентов стоматологических отделений общего профиля, обратившихся по поводу установки зубных имплантов.</w:t>
      </w:r>
    </w:p>
    <w:p w:rsidR="007E03D7" w:rsidRDefault="007E03D7" w:rsidP="00644AE5">
      <w:pPr>
        <w:spacing w:after="0" w:line="360" w:lineRule="auto"/>
        <w:ind w:firstLine="709"/>
        <w:jc w:val="both"/>
        <w:rPr>
          <w:rFonts w:ascii="Times New Roman" w:eastAsia="ヒラギノ角ゴ Pro W3" w:hAnsi="Times New Roman"/>
          <w:color w:val="000000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>Были изучены ткани опухоли, взятые во время оперативного вмешательства, которые подвергали дальнейшему замораживанию при температуре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4AE5">
        <w:rPr>
          <w:rFonts w:ascii="Times New Roman" w:hAnsi="Times New Roman"/>
          <w:sz w:val="28"/>
          <w:szCs w:val="28"/>
        </w:rPr>
        <w:t>-80°С.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4AE5">
        <w:rPr>
          <w:rFonts w:ascii="Times New Roman" w:eastAsia="ヒラギノ角ゴ Pro W3" w:hAnsi="Times New Roman"/>
          <w:color w:val="000000"/>
          <w:sz w:val="28"/>
          <w:szCs w:val="28"/>
        </w:rPr>
        <w:t xml:space="preserve">Образцы опухолевой ткани для  иммуногистохимического исследования готовили по стандартной методике. Забор ротовой жидкости (свободной нестимулированной слюны) производили в утренние часы до приема пищи после прополаскивания полости рта кипяченой водой. Периферическую кровь для исследования собирали стандартно, натощак. </w:t>
      </w: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44AE5">
        <w:rPr>
          <w:rFonts w:ascii="Times New Roman" w:eastAsia="ヒラギノ角ゴ Pro W3" w:hAnsi="Times New Roman"/>
          <w:color w:val="000000"/>
          <w:sz w:val="28"/>
          <w:szCs w:val="28"/>
        </w:rPr>
        <w:t>Уровень экспрессии гипоксия-индуцибельного фактора-1</w:t>
      </w:r>
      <w:r w:rsidRPr="00644AE5">
        <w:rPr>
          <w:rFonts w:ascii="Times New Roman" w:eastAsia="ヒラギノ角ゴ Pro W3" w:hAnsi="Times New Roman"/>
          <w:color w:val="000000"/>
          <w:sz w:val="28"/>
          <w:szCs w:val="28"/>
        </w:rPr>
        <w:sym w:font="Symbol" w:char="F061"/>
      </w:r>
      <w:r w:rsidRPr="00644AE5">
        <w:rPr>
          <w:rFonts w:ascii="Times New Roman" w:eastAsia="ヒラギノ角ゴ Pro W3" w:hAnsi="Times New Roman"/>
          <w:color w:val="000000"/>
          <w:sz w:val="28"/>
          <w:szCs w:val="28"/>
        </w:rPr>
        <w:t xml:space="preserve"> (HIF-1α;</w:t>
      </w:r>
      <w:r w:rsidRPr="00644AE5">
        <w:rPr>
          <w:rFonts w:ascii="Times New Roman" w:hAnsi="Times New Roman"/>
          <w:sz w:val="28"/>
          <w:szCs w:val="28"/>
        </w:rPr>
        <w:t xml:space="preserve"> USCN Life Science) и  </w:t>
      </w:r>
      <w:r w:rsidRPr="00644AE5">
        <w:rPr>
          <w:rFonts w:ascii="Times New Roman" w:hAnsi="Times New Roman"/>
          <w:color w:val="333333"/>
          <w:sz w:val="28"/>
          <w:szCs w:val="28"/>
          <w:lang w:val="en-US"/>
        </w:rPr>
        <w:t>VEGF</w:t>
      </w:r>
      <w:r w:rsidRPr="00644AE5">
        <w:rPr>
          <w:rFonts w:ascii="Times New Roman" w:hAnsi="Times New Roman"/>
          <w:color w:val="333333"/>
          <w:sz w:val="28"/>
          <w:szCs w:val="28"/>
        </w:rPr>
        <w:t>-А (</w:t>
      </w:r>
      <w:r w:rsidRPr="00644AE5">
        <w:rPr>
          <w:rFonts w:ascii="Times New Roman" w:eastAsia="Times-Roman" w:hAnsi="Times New Roman"/>
          <w:sz w:val="28"/>
          <w:szCs w:val="28"/>
        </w:rPr>
        <w:t>«</w:t>
      </w:r>
      <w:r w:rsidRPr="00644AE5">
        <w:rPr>
          <w:rFonts w:ascii="Times New Roman" w:eastAsia="Times-Roman" w:hAnsi="Times New Roman"/>
          <w:sz w:val="28"/>
          <w:szCs w:val="28"/>
          <w:lang w:val="en-US"/>
        </w:rPr>
        <w:t>BioVision</w:t>
      </w:r>
      <w:r w:rsidRPr="00644AE5">
        <w:rPr>
          <w:rFonts w:ascii="Times New Roman" w:eastAsia="Times-Roman" w:hAnsi="Times New Roman"/>
          <w:sz w:val="28"/>
          <w:szCs w:val="28"/>
        </w:rPr>
        <w:t xml:space="preserve">, </w:t>
      </w:r>
      <w:r w:rsidRPr="00644AE5">
        <w:rPr>
          <w:rFonts w:ascii="Times New Roman" w:eastAsia="Times-Roman" w:hAnsi="Times New Roman"/>
          <w:sz w:val="28"/>
          <w:szCs w:val="28"/>
          <w:lang w:val="en-US"/>
        </w:rPr>
        <w:t>Incorp</w:t>
      </w:r>
      <w:r w:rsidRPr="00644AE5">
        <w:rPr>
          <w:rFonts w:ascii="Times New Roman" w:eastAsia="Times-Roman" w:hAnsi="Times New Roman"/>
          <w:sz w:val="28"/>
          <w:szCs w:val="28"/>
        </w:rPr>
        <w:t>.»)</w:t>
      </w:r>
      <w:r w:rsidRPr="00644AE5">
        <w:rPr>
          <w:rFonts w:ascii="Times New Roman" w:hAnsi="Times New Roman"/>
          <w:sz w:val="28"/>
          <w:szCs w:val="28"/>
        </w:rPr>
        <w:t xml:space="preserve">  исследовали методом ИФА. </w:t>
      </w:r>
      <w:r w:rsidRPr="00644AE5">
        <w:rPr>
          <w:rFonts w:ascii="Times New Roman" w:eastAsia="ヒラギノ角ゴ Pro W3" w:hAnsi="Times New Roman"/>
          <w:color w:val="000000"/>
          <w:sz w:val="28"/>
          <w:szCs w:val="28"/>
        </w:rPr>
        <w:t xml:space="preserve">Для выявления белка </w:t>
      </w:r>
      <w:r w:rsidRPr="00644AE5">
        <w:rPr>
          <w:rFonts w:ascii="Times New Roman" w:eastAsia="ヒラギノ角ゴ Pro W3" w:hAnsi="Times New Roman"/>
          <w:color w:val="000000"/>
          <w:sz w:val="28"/>
          <w:szCs w:val="28"/>
          <w:lang w:val="en-US"/>
        </w:rPr>
        <w:t>HIF</w:t>
      </w:r>
      <w:r w:rsidRPr="00644AE5">
        <w:rPr>
          <w:rFonts w:ascii="Times New Roman" w:eastAsia="ヒラギノ角ゴ Pro W3" w:hAnsi="Times New Roman"/>
          <w:color w:val="000000"/>
          <w:sz w:val="28"/>
          <w:szCs w:val="28"/>
        </w:rPr>
        <w:t>-1</w:t>
      </w:r>
      <w:r w:rsidRPr="00644AE5">
        <w:rPr>
          <w:rFonts w:ascii="Times New Roman" w:eastAsia="ヒラギノ角ゴ Pro W3" w:hAnsi="Times New Roman"/>
          <w:color w:val="000000"/>
          <w:sz w:val="28"/>
          <w:szCs w:val="28"/>
          <w:lang w:val="en-US"/>
        </w:rPr>
        <w:t>a</w:t>
      </w:r>
      <w:r w:rsidRPr="00644AE5">
        <w:rPr>
          <w:rFonts w:ascii="Times New Roman" w:eastAsia="ヒラギノ角ゴ Pro W3" w:hAnsi="Times New Roman"/>
          <w:color w:val="000000"/>
          <w:sz w:val="28"/>
          <w:szCs w:val="28"/>
        </w:rPr>
        <w:t xml:space="preserve"> был применен иммунопероксидазный метод (EnVision/HRP, «Dako Cytomation»), а для </w:t>
      </w:r>
      <w:r w:rsidRPr="00644AE5">
        <w:rPr>
          <w:rFonts w:ascii="Times New Roman" w:eastAsia="Newton-Regular" w:hAnsi="Times New Roman"/>
          <w:sz w:val="28"/>
          <w:szCs w:val="28"/>
        </w:rPr>
        <w:t xml:space="preserve">оценки  экспрессии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количество п</w:t>
      </w:r>
      <w:r w:rsidRPr="00644AE5">
        <w:rPr>
          <w:rFonts w:ascii="Times New Roman" w:eastAsia="Newton-Regular" w:hAnsi="Times New Roman"/>
          <w:sz w:val="28"/>
          <w:szCs w:val="28"/>
        </w:rPr>
        <w:t xml:space="preserve">озитивных клеток подсчитывали на 1000 клеток. </w:t>
      </w:r>
    </w:p>
    <w:p w:rsidR="007E03D7" w:rsidRPr="00E3274D" w:rsidRDefault="007E03D7" w:rsidP="00E3274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>Данные обрабатывались при помощи пакета статистических программ «STATISTICA 10.0». При этом соблюдались общие рекомендации для медицинских исследований.</w:t>
      </w: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44AE5">
        <w:rPr>
          <w:rFonts w:ascii="Times New Roman" w:hAnsi="Times New Roman"/>
          <w:b/>
          <w:color w:val="000000"/>
          <w:sz w:val="28"/>
          <w:szCs w:val="28"/>
        </w:rPr>
        <w:t xml:space="preserve">Результаты исследования и их обсуждение. </w:t>
      </w: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>Ретроспективно у пациентов с раком СОПР, разделенных по принципу наличия или отсутствия гнойно-воспалительных  осложнений, оценивали исходный уровень содержания транскрипционного фактора  HIF-1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и VEGF-А в тканевом гомогенате опухоли, полученном из операционного биоптата (табл. 1). У пациентов при развитии гнойно-воспалительных осложнений в ткани опухоли повышалось содержание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(на 38,7%, </w:t>
      </w:r>
      <w:r w:rsidRPr="00644AE5">
        <w:rPr>
          <w:rFonts w:ascii="Times New Roman" w:hAnsi="Times New Roman"/>
          <w:sz w:val="28"/>
          <w:szCs w:val="28"/>
          <w:lang w:val="en-US"/>
        </w:rPr>
        <w:t>p</w:t>
      </w:r>
      <w:r w:rsidRPr="00644AE5">
        <w:rPr>
          <w:rFonts w:ascii="Times New Roman" w:hAnsi="Times New Roman"/>
          <w:sz w:val="28"/>
          <w:szCs w:val="28"/>
        </w:rPr>
        <w:t xml:space="preserve">&lt;0,05). </w:t>
      </w:r>
      <w:r w:rsidRPr="00644AE5">
        <w:rPr>
          <w:rFonts w:ascii="Times New Roman" w:hAnsi="Times New Roman"/>
          <w:color w:val="000000"/>
          <w:sz w:val="28"/>
          <w:szCs w:val="28"/>
        </w:rPr>
        <w:t xml:space="preserve">Фактор </w:t>
      </w:r>
      <w:r w:rsidRPr="00644AE5">
        <w:rPr>
          <w:rFonts w:ascii="Times New Roman" w:hAnsi="Times New Roman"/>
          <w:sz w:val="28"/>
          <w:szCs w:val="28"/>
          <w:lang w:val="en-US"/>
        </w:rPr>
        <w:t>VEGF</w:t>
      </w:r>
      <w:r w:rsidRPr="00644AE5">
        <w:rPr>
          <w:rFonts w:ascii="Times New Roman" w:hAnsi="Times New Roman"/>
          <w:sz w:val="28"/>
          <w:szCs w:val="28"/>
        </w:rPr>
        <w:t>-</w:t>
      </w:r>
      <w:r w:rsidRPr="00644AE5">
        <w:rPr>
          <w:rFonts w:ascii="Times New Roman" w:hAnsi="Times New Roman"/>
          <w:sz w:val="28"/>
          <w:szCs w:val="28"/>
          <w:lang w:val="en-US"/>
        </w:rPr>
        <w:t>A</w:t>
      </w:r>
      <w:r w:rsidRPr="00644AE5">
        <w:rPr>
          <w:rFonts w:ascii="Times New Roman" w:hAnsi="Times New Roman"/>
          <w:sz w:val="28"/>
          <w:szCs w:val="28"/>
        </w:rPr>
        <w:t xml:space="preserve">, способствующий росту сосудов и ангиогенезу в опухоли, </w:t>
      </w:r>
      <w:r w:rsidRPr="00644AE5">
        <w:rPr>
          <w:rFonts w:ascii="Times New Roman" w:hAnsi="Times New Roman"/>
          <w:color w:val="000000"/>
          <w:sz w:val="28"/>
          <w:szCs w:val="28"/>
        </w:rPr>
        <w:t xml:space="preserve">у пациентов основной группы </w:t>
      </w:r>
      <w:r w:rsidRPr="00644AE5">
        <w:rPr>
          <w:rFonts w:ascii="Times New Roman" w:hAnsi="Times New Roman"/>
          <w:sz w:val="28"/>
          <w:szCs w:val="28"/>
        </w:rPr>
        <w:t>по сравнению с группой сравнения также был повышен на 21% (</w:t>
      </w:r>
      <w:r w:rsidRPr="00644AE5">
        <w:rPr>
          <w:rFonts w:ascii="Times New Roman" w:hAnsi="Times New Roman"/>
          <w:sz w:val="28"/>
          <w:szCs w:val="28"/>
          <w:lang w:val="en-US"/>
        </w:rPr>
        <w:t>p</w:t>
      </w:r>
      <w:r w:rsidRPr="00644AE5">
        <w:rPr>
          <w:rFonts w:ascii="Times New Roman" w:hAnsi="Times New Roman"/>
          <w:sz w:val="28"/>
          <w:szCs w:val="28"/>
        </w:rPr>
        <w:t>&lt;0,05), что, возможно, было следствием накопления HIF-1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>.</w:t>
      </w:r>
    </w:p>
    <w:p w:rsidR="007E03D7" w:rsidRPr="00644AE5" w:rsidRDefault="007E03D7" w:rsidP="00644AE5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44AE5">
        <w:rPr>
          <w:rFonts w:ascii="Times New Roman" w:hAnsi="Times New Roman"/>
          <w:sz w:val="28"/>
          <w:szCs w:val="28"/>
          <w:lang w:eastAsia="ru-RU"/>
        </w:rPr>
        <w:t>Таблица 1.</w:t>
      </w:r>
    </w:p>
    <w:p w:rsidR="007E03D7" w:rsidRPr="00644AE5" w:rsidRDefault="007E03D7" w:rsidP="00644A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  <w:lang w:eastAsia="ru-RU"/>
        </w:rPr>
        <w:t xml:space="preserve">Содержание </w:t>
      </w:r>
      <w:r w:rsidRPr="00644AE5">
        <w:rPr>
          <w:rFonts w:ascii="Times New Roman" w:hAnsi="Times New Roman"/>
          <w:sz w:val="28"/>
          <w:szCs w:val="28"/>
        </w:rPr>
        <w:t>HIF-1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и VEGF-А</w:t>
      </w:r>
      <w:r w:rsidRPr="00644AE5">
        <w:rPr>
          <w:rFonts w:ascii="Times New Roman" w:hAnsi="Times New Roman"/>
          <w:color w:val="000000"/>
          <w:kern w:val="28"/>
          <w:sz w:val="28"/>
          <w:szCs w:val="28"/>
          <w:lang w:eastAsia="ru-RU"/>
        </w:rPr>
        <w:t xml:space="preserve"> в опухолевой ткани </w:t>
      </w:r>
      <w:r w:rsidRPr="00644AE5">
        <w:rPr>
          <w:rFonts w:ascii="Times New Roman" w:hAnsi="Times New Roman"/>
          <w:sz w:val="28"/>
          <w:szCs w:val="28"/>
        </w:rPr>
        <w:t>больных исследуемых групп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7"/>
        <w:gridCol w:w="1969"/>
        <w:gridCol w:w="1969"/>
        <w:gridCol w:w="1969"/>
        <w:gridCol w:w="1272"/>
      </w:tblGrid>
      <w:tr w:rsidR="007E03D7" w:rsidRPr="00E91604" w:rsidTr="00E91604">
        <w:tc>
          <w:tcPr>
            <w:tcW w:w="1135" w:type="pct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06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Основная группа,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=96</w:t>
            </w:r>
          </w:p>
        </w:tc>
        <w:tc>
          <w:tcPr>
            <w:tcW w:w="106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Группа сравнения,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=45</w:t>
            </w:r>
          </w:p>
        </w:tc>
        <w:tc>
          <w:tcPr>
            <w:tcW w:w="106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В общем по группе</w:t>
            </w:r>
          </w:p>
        </w:tc>
        <w:tc>
          <w:tcPr>
            <w:tcW w:w="685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р </w:t>
            </w:r>
            <w:r w:rsidRPr="00E91604">
              <w:rPr>
                <w:rFonts w:ascii="Times New Roman" w:hAnsi="Times New Roman"/>
                <w:sz w:val="28"/>
                <w:szCs w:val="28"/>
                <w:vertAlign w:val="subscript"/>
              </w:rPr>
              <w:t>осн-срав</w:t>
            </w:r>
          </w:p>
        </w:tc>
      </w:tr>
      <w:tr w:rsidR="007E03D7" w:rsidRPr="00E91604" w:rsidTr="00E91604">
        <w:tc>
          <w:tcPr>
            <w:tcW w:w="1135" w:type="pct"/>
          </w:tcPr>
          <w:p w:rsidR="007E03D7" w:rsidRPr="00E91604" w:rsidRDefault="007E03D7" w:rsidP="00E9160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HIF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-1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sym w:font="Symbol" w:char="F061"/>
            </w:r>
            <w:r w:rsidRPr="00E91604">
              <w:rPr>
                <w:rFonts w:ascii="Times New Roman" w:hAnsi="Times New Roman"/>
                <w:sz w:val="28"/>
                <w:szCs w:val="28"/>
              </w:rPr>
              <w:t>, УЕ/мг белка в лунке</w:t>
            </w:r>
          </w:p>
        </w:tc>
        <w:tc>
          <w:tcPr>
            <w:tcW w:w="106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12,9±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06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9,3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±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106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11,5±4,2 </w:t>
            </w:r>
          </w:p>
        </w:tc>
        <w:tc>
          <w:tcPr>
            <w:tcW w:w="685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&lt;0,05</w:t>
            </w:r>
          </w:p>
        </w:tc>
      </w:tr>
      <w:tr w:rsidR="007E03D7" w:rsidRPr="00E91604" w:rsidTr="00E91604">
        <w:tc>
          <w:tcPr>
            <w:tcW w:w="1135" w:type="pct"/>
          </w:tcPr>
          <w:p w:rsidR="007E03D7" w:rsidRPr="00E91604" w:rsidRDefault="007E03D7" w:rsidP="00E91604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VEGF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-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, пг/мг</w:t>
            </w:r>
          </w:p>
        </w:tc>
        <w:tc>
          <w:tcPr>
            <w:tcW w:w="106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90,3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±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06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74,6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±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06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82,6±5,7</w:t>
            </w:r>
          </w:p>
        </w:tc>
        <w:tc>
          <w:tcPr>
            <w:tcW w:w="685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&lt;0,05</w:t>
            </w:r>
          </w:p>
        </w:tc>
      </w:tr>
    </w:tbl>
    <w:p w:rsidR="007E03D7" w:rsidRPr="00644AE5" w:rsidRDefault="007E03D7" w:rsidP="00644AE5">
      <w:pPr>
        <w:spacing w:after="0" w:line="360" w:lineRule="auto"/>
        <w:rPr>
          <w:sz w:val="28"/>
          <w:szCs w:val="28"/>
          <w:highlight w:val="yellow"/>
        </w:rPr>
      </w:pP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Распределение величин содержания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тканевом гомогенате опухоли  у больных основной группы и группы сравнения оценивали с учетом размеров опухоли (табл. 2).  </w:t>
      </w:r>
    </w:p>
    <w:p w:rsidR="007E03D7" w:rsidRPr="00644AE5" w:rsidRDefault="007E03D7" w:rsidP="00644AE5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>Таблица 2.</w:t>
      </w:r>
    </w:p>
    <w:p w:rsidR="007E03D7" w:rsidRPr="00644AE5" w:rsidRDefault="007E03D7" w:rsidP="00644A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Распределение величин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тканевом гомогенате опухоли (УЕ/ </w:t>
      </w:r>
      <w:r w:rsidRPr="00644AE5">
        <w:rPr>
          <w:rFonts w:ascii="Times New Roman" w:hAnsi="Times New Roman"/>
          <w:sz w:val="28"/>
          <w:szCs w:val="28"/>
          <w:vertAlign w:val="subscript"/>
        </w:rPr>
        <w:t>мг белка в лунке</w:t>
      </w:r>
      <w:r w:rsidRPr="00644AE5">
        <w:rPr>
          <w:rFonts w:ascii="Times New Roman" w:hAnsi="Times New Roman"/>
          <w:sz w:val="28"/>
          <w:szCs w:val="28"/>
        </w:rPr>
        <w:t>) больных исследуемых групп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1"/>
        <w:gridCol w:w="2245"/>
        <w:gridCol w:w="2247"/>
        <w:gridCol w:w="2247"/>
        <w:gridCol w:w="1066"/>
      </w:tblGrid>
      <w:tr w:rsidR="007E03D7" w:rsidRPr="00E91604" w:rsidTr="00E91604">
        <w:tc>
          <w:tcPr>
            <w:tcW w:w="797" w:type="pct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Размер </w:t>
            </w:r>
          </w:p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опухоли</w:t>
            </w:r>
          </w:p>
        </w:tc>
        <w:tc>
          <w:tcPr>
            <w:tcW w:w="1209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Основная группа,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=96</w:t>
            </w:r>
          </w:p>
        </w:tc>
        <w:tc>
          <w:tcPr>
            <w:tcW w:w="121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Группа сравнения,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=45</w:t>
            </w:r>
          </w:p>
        </w:tc>
        <w:tc>
          <w:tcPr>
            <w:tcW w:w="121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В общем по группе </w:t>
            </w:r>
          </w:p>
        </w:tc>
        <w:tc>
          <w:tcPr>
            <w:tcW w:w="574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р </w:t>
            </w:r>
            <w:r w:rsidRPr="00E91604">
              <w:rPr>
                <w:rFonts w:ascii="Times New Roman" w:hAnsi="Times New Roman"/>
                <w:sz w:val="28"/>
                <w:szCs w:val="28"/>
                <w:vertAlign w:val="subscript"/>
              </w:rPr>
              <w:t>осн-срав</w:t>
            </w:r>
          </w:p>
        </w:tc>
      </w:tr>
      <w:tr w:rsidR="007E03D7" w:rsidRPr="00E91604" w:rsidTr="00E91604">
        <w:tc>
          <w:tcPr>
            <w:tcW w:w="797" w:type="pct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T1N0M0</w:t>
            </w:r>
          </w:p>
        </w:tc>
        <w:tc>
          <w:tcPr>
            <w:tcW w:w="1209" w:type="pct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9,4±0,78</w:t>
            </w:r>
          </w:p>
        </w:tc>
        <w:tc>
          <w:tcPr>
            <w:tcW w:w="121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8,7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±0,47</w:t>
            </w:r>
          </w:p>
        </w:tc>
        <w:tc>
          <w:tcPr>
            <w:tcW w:w="1210" w:type="pct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9,1±1,18</w:t>
            </w:r>
          </w:p>
        </w:tc>
        <w:tc>
          <w:tcPr>
            <w:tcW w:w="574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&gt;0,05</w:t>
            </w:r>
          </w:p>
        </w:tc>
      </w:tr>
      <w:tr w:rsidR="007E03D7" w:rsidRPr="00E91604" w:rsidTr="00E91604">
        <w:tc>
          <w:tcPr>
            <w:tcW w:w="797" w:type="pct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T2N0-2M0</w:t>
            </w:r>
          </w:p>
        </w:tc>
        <w:tc>
          <w:tcPr>
            <w:tcW w:w="1209" w:type="pct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12,2±0,85</w:t>
            </w:r>
          </w:p>
        </w:tc>
        <w:tc>
          <w:tcPr>
            <w:tcW w:w="121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9,1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±0,39</w:t>
            </w:r>
          </w:p>
        </w:tc>
        <w:tc>
          <w:tcPr>
            <w:tcW w:w="1210" w:type="pct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10,7±0,65</w:t>
            </w:r>
          </w:p>
        </w:tc>
        <w:tc>
          <w:tcPr>
            <w:tcW w:w="574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&lt;0,05</w:t>
            </w:r>
          </w:p>
        </w:tc>
      </w:tr>
      <w:tr w:rsidR="007E03D7" w:rsidRPr="00E91604" w:rsidTr="00E91604">
        <w:tc>
          <w:tcPr>
            <w:tcW w:w="797" w:type="pct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T3N0-2M0</w:t>
            </w:r>
          </w:p>
        </w:tc>
        <w:tc>
          <w:tcPr>
            <w:tcW w:w="1209" w:type="pct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13,7±0,72</w:t>
            </w:r>
          </w:p>
        </w:tc>
        <w:tc>
          <w:tcPr>
            <w:tcW w:w="121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9,8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±0,53</w:t>
            </w:r>
          </w:p>
        </w:tc>
        <w:tc>
          <w:tcPr>
            <w:tcW w:w="1210" w:type="pct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11,7±0,55</w:t>
            </w:r>
          </w:p>
        </w:tc>
        <w:tc>
          <w:tcPr>
            <w:tcW w:w="574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&lt;0,05</w:t>
            </w:r>
          </w:p>
        </w:tc>
      </w:tr>
    </w:tbl>
    <w:p w:rsidR="007E03D7" w:rsidRPr="00644AE5" w:rsidRDefault="007E03D7" w:rsidP="00644A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E03D7" w:rsidRPr="00644AE5" w:rsidRDefault="007E03D7" w:rsidP="00644A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При размере опухоли Т1 содержание 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ткани было сходным</w:t>
      </w:r>
      <w:r w:rsidRPr="00637221">
        <w:rPr>
          <w:rFonts w:ascii="Times New Roman" w:hAnsi="Times New Roman"/>
          <w:sz w:val="28"/>
          <w:szCs w:val="28"/>
        </w:rPr>
        <w:t xml:space="preserve"> </w:t>
      </w:r>
      <w:r w:rsidRPr="00F91E09">
        <w:rPr>
          <w:rFonts w:ascii="Times New Roman" w:hAnsi="Times New Roman"/>
          <w:sz w:val="28"/>
          <w:szCs w:val="28"/>
        </w:rPr>
        <w:t>(</w:t>
      </w:r>
      <w:r w:rsidRPr="00F91E09">
        <w:rPr>
          <w:rFonts w:ascii="Times New Roman" w:hAnsi="Times New Roman"/>
          <w:sz w:val="28"/>
          <w:szCs w:val="28"/>
          <w:lang w:val="en-US"/>
        </w:rPr>
        <w:t>p</w:t>
      </w:r>
      <w:r w:rsidRPr="00F91E09">
        <w:rPr>
          <w:rFonts w:ascii="Times New Roman" w:hAnsi="Times New Roman"/>
          <w:sz w:val="28"/>
          <w:szCs w:val="28"/>
        </w:rPr>
        <w:t>&gt;0,05). При Т2 уровень  изучаемого гипоксия-зависимого транскрипционного фактора в опухолевом гомогенате  в основной группе был выше по сравнению с группой сравнения на 34% (</w:t>
      </w:r>
      <w:r w:rsidRPr="00F91E09">
        <w:rPr>
          <w:rFonts w:ascii="Times New Roman" w:hAnsi="Times New Roman"/>
          <w:sz w:val="28"/>
          <w:szCs w:val="28"/>
          <w:lang w:val="en-US"/>
        </w:rPr>
        <w:t>p</w:t>
      </w:r>
      <w:r w:rsidRPr="00F91E09">
        <w:rPr>
          <w:rFonts w:ascii="Times New Roman" w:hAnsi="Times New Roman"/>
          <w:sz w:val="28"/>
          <w:szCs w:val="28"/>
        </w:rPr>
        <w:t>&lt;0,05), а при Т3 – на 39,8% (</w:t>
      </w:r>
      <w:r w:rsidRPr="00F91E09">
        <w:rPr>
          <w:rFonts w:ascii="Times New Roman" w:hAnsi="Times New Roman"/>
          <w:sz w:val="28"/>
          <w:szCs w:val="28"/>
          <w:lang w:val="en-US"/>
        </w:rPr>
        <w:t>p</w:t>
      </w:r>
      <w:r w:rsidRPr="00F91E09">
        <w:rPr>
          <w:rFonts w:ascii="Times New Roman" w:hAnsi="Times New Roman"/>
          <w:sz w:val="28"/>
          <w:szCs w:val="28"/>
        </w:rPr>
        <w:t xml:space="preserve">&lt;0,05). Как в основной, так и в группе сравнения по мере повышения размера опухоли содержание </w:t>
      </w:r>
      <w:r w:rsidRPr="00F91E09">
        <w:rPr>
          <w:rFonts w:ascii="Times New Roman" w:hAnsi="Times New Roman"/>
          <w:sz w:val="28"/>
          <w:szCs w:val="28"/>
          <w:lang w:val="en-US"/>
        </w:rPr>
        <w:t>HIF</w:t>
      </w:r>
      <w:r w:rsidRPr="00F91E09">
        <w:rPr>
          <w:rFonts w:ascii="Times New Roman" w:hAnsi="Times New Roman"/>
          <w:sz w:val="28"/>
          <w:szCs w:val="28"/>
        </w:rPr>
        <w:t>-1</w:t>
      </w:r>
      <w:r w:rsidRPr="00F91E09">
        <w:rPr>
          <w:rFonts w:ascii="Times New Roman" w:hAnsi="Times New Roman"/>
          <w:sz w:val="28"/>
          <w:szCs w:val="28"/>
        </w:rPr>
        <w:sym w:font="Symbol" w:char="F061"/>
      </w:r>
      <w:r w:rsidRPr="00F91E09">
        <w:rPr>
          <w:rFonts w:ascii="Times New Roman" w:hAnsi="Times New Roman"/>
          <w:sz w:val="28"/>
          <w:szCs w:val="28"/>
        </w:rPr>
        <w:t xml:space="preserve"> в тканевом</w:t>
      </w:r>
      <w:r w:rsidRPr="00644AE5">
        <w:rPr>
          <w:rFonts w:ascii="Times New Roman" w:hAnsi="Times New Roman"/>
          <w:sz w:val="28"/>
          <w:szCs w:val="28"/>
        </w:rPr>
        <w:t xml:space="preserve"> гомогенате опухоли возрастало. Однако, в основной группе градиент роста транскрипционного фактора от Т1 до Т3 был более выраженным, чем в группе сравнения.</w:t>
      </w: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Характеристика экспрессии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опухолевой ткани у больных основной группы и группы сравнения по результатам ИГХ исследования представлена в таблице 3.</w:t>
      </w:r>
    </w:p>
    <w:p w:rsidR="007E03D7" w:rsidRPr="00644AE5" w:rsidRDefault="007E03D7" w:rsidP="00644AE5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>Таблица 3.</w:t>
      </w:r>
    </w:p>
    <w:p w:rsidR="007E03D7" w:rsidRPr="00644AE5" w:rsidRDefault="007E03D7" w:rsidP="00644A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Характеристика экспрессии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опухолевой ткани больных исследуемых групп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6"/>
        <w:gridCol w:w="1322"/>
        <w:gridCol w:w="1612"/>
        <w:gridCol w:w="1612"/>
        <w:gridCol w:w="1596"/>
        <w:gridCol w:w="1588"/>
      </w:tblGrid>
      <w:tr w:rsidR="007E03D7" w:rsidRPr="00E91604" w:rsidTr="00E91604">
        <w:tc>
          <w:tcPr>
            <w:tcW w:w="1595" w:type="dxa"/>
            <w:vMerge w:val="restart"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19" w:type="dxa"/>
            <w:gridSpan w:val="4"/>
            <w:shd w:val="clear" w:color="auto" w:fill="BFBFBF"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Уровень экспрессии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HIF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-1</w:t>
            </w:r>
            <w:r w:rsidRPr="00E91604">
              <w:rPr>
                <w:rFonts w:ascii="Times New Roman" w:hAnsi="Times New Roman"/>
                <w:sz w:val="28"/>
                <w:szCs w:val="28"/>
              </w:rPr>
              <w:sym w:font="Symbol" w:char="F061"/>
            </w:r>
          </w:p>
        </w:tc>
        <w:tc>
          <w:tcPr>
            <w:tcW w:w="1657" w:type="dxa"/>
            <w:vMerge w:val="restar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7E03D7" w:rsidRPr="00E91604" w:rsidTr="00E91604">
        <w:tc>
          <w:tcPr>
            <w:tcW w:w="1595" w:type="dxa"/>
            <w:vMerge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8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1+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2++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3+++</w:t>
            </w:r>
          </w:p>
        </w:tc>
        <w:tc>
          <w:tcPr>
            <w:tcW w:w="1657" w:type="dxa"/>
            <w:vMerge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03D7" w:rsidRPr="00E91604" w:rsidTr="00E91604">
        <w:tc>
          <w:tcPr>
            <w:tcW w:w="9571" w:type="dxa"/>
            <w:gridSpan w:val="6"/>
            <w:shd w:val="clear" w:color="auto" w:fill="BFBFBF"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Основная группа,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=96</w:t>
            </w:r>
          </w:p>
        </w:tc>
      </w:tr>
      <w:tr w:rsidR="007E03D7" w:rsidRPr="00E91604" w:rsidTr="00E91604">
        <w:tc>
          <w:tcPr>
            <w:tcW w:w="1595" w:type="dxa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T1N0M0</w:t>
            </w:r>
          </w:p>
        </w:tc>
        <w:tc>
          <w:tcPr>
            <w:tcW w:w="1348" w:type="dxa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3 (27,3%)*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7 (63,6%)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 (9,1%)</w:t>
            </w:r>
          </w:p>
        </w:tc>
        <w:tc>
          <w:tcPr>
            <w:tcW w:w="1657" w:type="dxa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11 (100%)</w:t>
            </w:r>
          </w:p>
        </w:tc>
      </w:tr>
      <w:tr w:rsidR="007E03D7" w:rsidRPr="00E91604" w:rsidTr="00E91604">
        <w:tc>
          <w:tcPr>
            <w:tcW w:w="1595" w:type="dxa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T2N0-2M0</w:t>
            </w:r>
          </w:p>
        </w:tc>
        <w:tc>
          <w:tcPr>
            <w:tcW w:w="1348" w:type="dxa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7 (18,9%)*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25 (67,6%)*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5 (13,5%)</w:t>
            </w:r>
          </w:p>
        </w:tc>
        <w:tc>
          <w:tcPr>
            <w:tcW w:w="1657" w:type="dxa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37 (100%)</w:t>
            </w:r>
          </w:p>
        </w:tc>
      </w:tr>
      <w:tr w:rsidR="007E03D7" w:rsidRPr="00E91604" w:rsidTr="00E91604">
        <w:tc>
          <w:tcPr>
            <w:tcW w:w="1595" w:type="dxa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T3N0-2M0</w:t>
            </w:r>
          </w:p>
        </w:tc>
        <w:tc>
          <w:tcPr>
            <w:tcW w:w="1348" w:type="dxa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2 (4,2%)*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36 (75%)*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10 (20,8%)</w:t>
            </w:r>
          </w:p>
        </w:tc>
        <w:tc>
          <w:tcPr>
            <w:tcW w:w="1657" w:type="dxa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48 (100%)</w:t>
            </w:r>
          </w:p>
        </w:tc>
      </w:tr>
      <w:tr w:rsidR="007E03D7" w:rsidRPr="00E91604" w:rsidTr="00E91604">
        <w:tc>
          <w:tcPr>
            <w:tcW w:w="9571" w:type="dxa"/>
            <w:gridSpan w:val="6"/>
            <w:shd w:val="clear" w:color="auto" w:fill="BFBFBF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Группа сравнения,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=45</w:t>
            </w:r>
          </w:p>
        </w:tc>
      </w:tr>
      <w:tr w:rsidR="007E03D7" w:rsidRPr="00E91604" w:rsidTr="00E91604">
        <w:tc>
          <w:tcPr>
            <w:tcW w:w="1595" w:type="dxa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T1N0M0</w:t>
            </w:r>
          </w:p>
        </w:tc>
        <w:tc>
          <w:tcPr>
            <w:tcW w:w="1348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 (16,7%)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5 (83,3%)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57" w:type="dxa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6 (100%)</w:t>
            </w:r>
          </w:p>
        </w:tc>
      </w:tr>
      <w:tr w:rsidR="007E03D7" w:rsidRPr="00E91604" w:rsidTr="00E91604">
        <w:tc>
          <w:tcPr>
            <w:tcW w:w="1595" w:type="dxa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T2N0-2M0</w:t>
            </w:r>
          </w:p>
        </w:tc>
        <w:tc>
          <w:tcPr>
            <w:tcW w:w="1348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 (5,6%)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12 (66,7%)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3 (16,7%)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2 (11,1%)</w:t>
            </w:r>
          </w:p>
        </w:tc>
        <w:tc>
          <w:tcPr>
            <w:tcW w:w="1657" w:type="dxa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18 (100%)</w:t>
            </w:r>
          </w:p>
        </w:tc>
      </w:tr>
      <w:tr w:rsidR="007E03D7" w:rsidRPr="00E91604" w:rsidTr="00E91604">
        <w:tc>
          <w:tcPr>
            <w:tcW w:w="1595" w:type="dxa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T3N0-2M0</w:t>
            </w:r>
          </w:p>
        </w:tc>
        <w:tc>
          <w:tcPr>
            <w:tcW w:w="1348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12 (57,1%)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6 (28,6%)</w:t>
            </w:r>
          </w:p>
        </w:tc>
        <w:tc>
          <w:tcPr>
            <w:tcW w:w="1657" w:type="dxa"/>
            <w:vAlign w:val="center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3 (14,3%)</w:t>
            </w:r>
          </w:p>
        </w:tc>
        <w:tc>
          <w:tcPr>
            <w:tcW w:w="1657" w:type="dxa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21 (100%)</w:t>
            </w:r>
          </w:p>
        </w:tc>
      </w:tr>
    </w:tbl>
    <w:p w:rsidR="007E03D7" w:rsidRPr="008D617D" w:rsidRDefault="007E03D7" w:rsidP="008D61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Примечание: * - достоверное отличие между группами при  </w:t>
      </w:r>
      <w:r w:rsidRPr="00644AE5">
        <w:rPr>
          <w:rFonts w:ascii="Times New Roman" w:hAnsi="Times New Roman"/>
          <w:sz w:val="28"/>
          <w:szCs w:val="28"/>
          <w:lang w:val="en-US"/>
        </w:rPr>
        <w:t>p</w:t>
      </w:r>
      <w:r w:rsidRPr="00644AE5">
        <w:rPr>
          <w:rFonts w:ascii="Times New Roman" w:hAnsi="Times New Roman"/>
          <w:sz w:val="28"/>
          <w:szCs w:val="28"/>
        </w:rPr>
        <w:t>&lt;0,05.</w:t>
      </w: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При размере опухоли Т1 у больных основной группы преобладал средний уровень опухолевой экспрессии (2++) (63,6%), а у пациентов группы сравнения – слабый уровень опухолевой экспрессии (1+) (83,3%). Та же самая закономерность прослеживалась и при размере опухоли Т2. У больных основной группы при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2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0-2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средний уровень опухолевой экспрессии (2++) встречался в 67,6% и был чаще других, а у пациентов группы сравнения – слабый уровень опухолевой экспрессии (1+) (66,7%) преобладал по частоте. При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2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0-2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сильная экспрессия фактора (3+++) в основной группе встречалась в 13,5%, а в группе сравнения – в 11,1%. При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3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0-2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в основной группе средний уровень опухолевой экспрессии (2++), по-прежнему, преобладал (75%), возросло число опухолевых препаратов, где выраженность экспрессии была сильной (20,8%). </w:t>
      </w: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 В группе сравнения при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3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0-2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половина препаратов имела слабый уровень экспрессии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(57,1%), а другая половина по сумме (42,9%) средний и сильный уровень выраженности экспрессии фактора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. Таким образом, в основной группе, где развились гнойно-воспалительные осложнения, зависимость транскрипционной активности опухолевых клеток от гипоксии была высокой. </w:t>
      </w: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Тип окрашивания клеток при ИГХ исследовании экспрессии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ткани опухоли позволял судить о наличии или отсутствии транслокации фактора в ядро. </w:t>
      </w:r>
      <w:r w:rsidRPr="00644AE5">
        <w:rPr>
          <w:rFonts w:ascii="Times New Roman" w:hAnsi="Times New Roman"/>
          <w:color w:val="000000"/>
          <w:sz w:val="28"/>
          <w:szCs w:val="28"/>
        </w:rPr>
        <w:t>HIF1</w:t>
      </w:r>
      <w:r w:rsidRPr="00644AE5">
        <w:rPr>
          <w:rFonts w:ascii="Times New Roman" w:hAnsi="Times New Roman"/>
          <w:color w:val="000000"/>
          <w:sz w:val="28"/>
          <w:szCs w:val="28"/>
        </w:rPr>
        <w:sym w:font="Symbol" w:char="F061"/>
      </w:r>
      <w:r w:rsidRPr="00644AE5">
        <w:rPr>
          <w:rFonts w:ascii="Times New Roman" w:hAnsi="Times New Roman"/>
          <w:color w:val="000000"/>
          <w:sz w:val="28"/>
          <w:szCs w:val="28"/>
        </w:rPr>
        <w:t xml:space="preserve"> может перемещаться из цитоплазмы в ядро, где формирует активный HIF-1-комплекс. Таким образом, наличие HIF1</w:t>
      </w:r>
      <w:r w:rsidRPr="00644AE5">
        <w:rPr>
          <w:rFonts w:ascii="Times New Roman" w:hAnsi="Times New Roman"/>
          <w:color w:val="000000"/>
          <w:sz w:val="28"/>
          <w:szCs w:val="28"/>
        </w:rPr>
        <w:sym w:font="Symbol" w:char="F061"/>
      </w:r>
      <w:r w:rsidRPr="00644AE5">
        <w:rPr>
          <w:rFonts w:ascii="Times New Roman" w:hAnsi="Times New Roman"/>
          <w:color w:val="000000"/>
          <w:sz w:val="28"/>
          <w:szCs w:val="28"/>
        </w:rPr>
        <w:t xml:space="preserve"> в ядре ассоциировано с повышением транскрипционной активности клеток. </w:t>
      </w: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>Характеристики типа окрашивания клеток опухоли у больных основной группы и группы сравнения даны в таблице 4.</w:t>
      </w:r>
    </w:p>
    <w:p w:rsidR="007E03D7" w:rsidRPr="00877AB8" w:rsidRDefault="007E03D7" w:rsidP="00644AE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E03D7" w:rsidRDefault="007E03D7" w:rsidP="00644AE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E03D7" w:rsidRDefault="007E03D7" w:rsidP="00644AE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E03D7" w:rsidRDefault="007E03D7" w:rsidP="00644AE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E03D7" w:rsidRDefault="007E03D7" w:rsidP="00644AE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E03D7" w:rsidRDefault="007E03D7" w:rsidP="00644AE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E03D7" w:rsidRPr="00877AB8" w:rsidRDefault="007E03D7" w:rsidP="00644AE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E03D7" w:rsidRPr="00644AE5" w:rsidRDefault="007E03D7" w:rsidP="00644AE5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>Таблица 4.</w:t>
      </w:r>
    </w:p>
    <w:p w:rsidR="007E03D7" w:rsidRPr="00644AE5" w:rsidRDefault="007E03D7" w:rsidP="00644A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Тип окрашивания при экспрессии 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опухоли больных исследуемых групп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80"/>
        <w:gridCol w:w="1302"/>
        <w:gridCol w:w="1449"/>
        <w:gridCol w:w="1155"/>
        <w:gridCol w:w="1302"/>
        <w:gridCol w:w="1302"/>
        <w:gridCol w:w="1296"/>
      </w:tblGrid>
      <w:tr w:rsidR="007E03D7" w:rsidRPr="00E91604" w:rsidTr="00E91604">
        <w:trPr>
          <w:trHeight w:val="329"/>
        </w:trPr>
        <w:tc>
          <w:tcPr>
            <w:tcW w:w="797" w:type="pct"/>
            <w:vMerge w:val="restart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Размер </w:t>
            </w:r>
          </w:p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опухоли</w:t>
            </w:r>
          </w:p>
        </w:tc>
        <w:tc>
          <w:tcPr>
            <w:tcW w:w="2103" w:type="pct"/>
            <w:gridSpan w:val="3"/>
            <w:tcBorders>
              <w:right w:val="thinThickSmallGap" w:sz="24" w:space="0" w:color="auto"/>
            </w:tcBorders>
            <w:shd w:val="clear" w:color="auto" w:fill="BFBFBF"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Основная группа,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=96</w:t>
            </w:r>
          </w:p>
        </w:tc>
        <w:tc>
          <w:tcPr>
            <w:tcW w:w="2100" w:type="pct"/>
            <w:gridSpan w:val="3"/>
            <w:tcBorders>
              <w:left w:val="thinThickSmallGap" w:sz="24" w:space="0" w:color="auto"/>
            </w:tcBorders>
            <w:shd w:val="clear" w:color="auto" w:fill="BFBFBF"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Группа сравнения,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=45</w:t>
            </w:r>
          </w:p>
        </w:tc>
      </w:tr>
      <w:tr w:rsidR="007E03D7" w:rsidRPr="00E91604" w:rsidTr="00E91604">
        <w:trPr>
          <w:trHeight w:val="329"/>
        </w:trPr>
        <w:tc>
          <w:tcPr>
            <w:tcW w:w="797" w:type="pct"/>
            <w:vMerge/>
            <w:vAlign w:val="center"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3" w:type="pct"/>
            <w:gridSpan w:val="6"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center"/>
              <w:rPr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Тип окрашивания</w:t>
            </w:r>
          </w:p>
        </w:tc>
      </w:tr>
      <w:tr w:rsidR="007E03D7" w:rsidRPr="00E91604" w:rsidTr="00E91604">
        <w:trPr>
          <w:trHeight w:val="329"/>
        </w:trPr>
        <w:tc>
          <w:tcPr>
            <w:tcW w:w="797" w:type="pct"/>
            <w:vMerge/>
            <w:vAlign w:val="center"/>
          </w:tcPr>
          <w:p w:rsidR="007E03D7" w:rsidRPr="00E91604" w:rsidRDefault="007E03D7" w:rsidP="00E91604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цтм</w:t>
            </w:r>
          </w:p>
        </w:tc>
        <w:tc>
          <w:tcPr>
            <w:tcW w:w="78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яд-цтм</w:t>
            </w:r>
          </w:p>
        </w:tc>
        <w:tc>
          <w:tcPr>
            <w:tcW w:w="622" w:type="pct"/>
            <w:tcBorders>
              <w:right w:val="thinThickSmallGap" w:sz="24" w:space="0" w:color="auto"/>
            </w:tcBorders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01" w:type="pct"/>
            <w:tcBorders>
              <w:left w:val="thinThickSmallGap" w:sz="24" w:space="0" w:color="auto"/>
            </w:tcBorders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цтм</w:t>
            </w:r>
          </w:p>
        </w:tc>
        <w:tc>
          <w:tcPr>
            <w:tcW w:w="701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яд-цтм</w:t>
            </w:r>
          </w:p>
        </w:tc>
        <w:tc>
          <w:tcPr>
            <w:tcW w:w="698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всего</w:t>
            </w:r>
          </w:p>
        </w:tc>
      </w:tr>
      <w:tr w:rsidR="007E03D7" w:rsidRPr="00E91604" w:rsidTr="00E91604">
        <w:trPr>
          <w:trHeight w:val="329"/>
        </w:trPr>
        <w:tc>
          <w:tcPr>
            <w:tcW w:w="797" w:type="pct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T1N0M0</w:t>
            </w:r>
          </w:p>
        </w:tc>
        <w:tc>
          <w:tcPr>
            <w:tcW w:w="701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(54,5%)</w:t>
            </w:r>
          </w:p>
        </w:tc>
        <w:tc>
          <w:tcPr>
            <w:tcW w:w="78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(45,5%)</w:t>
            </w:r>
          </w:p>
        </w:tc>
        <w:tc>
          <w:tcPr>
            <w:tcW w:w="622" w:type="pct"/>
            <w:tcBorders>
              <w:right w:val="thinThickSmallGap" w:sz="24" w:space="0" w:color="auto"/>
            </w:tcBorders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11 (100%)</w:t>
            </w:r>
          </w:p>
        </w:tc>
        <w:tc>
          <w:tcPr>
            <w:tcW w:w="701" w:type="pct"/>
            <w:tcBorders>
              <w:left w:val="thinThickSmallGap" w:sz="24" w:space="0" w:color="auto"/>
            </w:tcBorders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(66,7%)</w:t>
            </w:r>
          </w:p>
        </w:tc>
        <w:tc>
          <w:tcPr>
            <w:tcW w:w="701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(33,3%)*</w:t>
            </w:r>
          </w:p>
        </w:tc>
        <w:tc>
          <w:tcPr>
            <w:tcW w:w="698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</w:tr>
      <w:tr w:rsidR="007E03D7" w:rsidRPr="00E91604" w:rsidTr="00E91604">
        <w:trPr>
          <w:trHeight w:val="329"/>
        </w:trPr>
        <w:tc>
          <w:tcPr>
            <w:tcW w:w="797" w:type="pct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T2N0-2M0</w:t>
            </w:r>
          </w:p>
        </w:tc>
        <w:tc>
          <w:tcPr>
            <w:tcW w:w="701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(8,1%)º</w:t>
            </w:r>
          </w:p>
        </w:tc>
        <w:tc>
          <w:tcPr>
            <w:tcW w:w="78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34 (91,9%)*º</w:t>
            </w:r>
          </w:p>
        </w:tc>
        <w:tc>
          <w:tcPr>
            <w:tcW w:w="622" w:type="pct"/>
            <w:tcBorders>
              <w:right w:val="thinThickSmallGap" w:sz="24" w:space="0" w:color="auto"/>
            </w:tcBorders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37 (100%)</w:t>
            </w:r>
          </w:p>
        </w:tc>
        <w:tc>
          <w:tcPr>
            <w:tcW w:w="701" w:type="pct"/>
            <w:tcBorders>
              <w:left w:val="thinThickSmallGap" w:sz="24" w:space="0" w:color="auto"/>
            </w:tcBorders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9 </w:t>
            </w:r>
          </w:p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(50%)</w:t>
            </w:r>
          </w:p>
        </w:tc>
        <w:tc>
          <w:tcPr>
            <w:tcW w:w="701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9 </w:t>
            </w:r>
          </w:p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(50%)</w:t>
            </w:r>
          </w:p>
        </w:tc>
        <w:tc>
          <w:tcPr>
            <w:tcW w:w="698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18 (100%)</w:t>
            </w:r>
          </w:p>
        </w:tc>
      </w:tr>
      <w:tr w:rsidR="007E03D7" w:rsidRPr="00E91604" w:rsidTr="00E91604">
        <w:trPr>
          <w:trHeight w:val="329"/>
        </w:trPr>
        <w:tc>
          <w:tcPr>
            <w:tcW w:w="797" w:type="pct"/>
          </w:tcPr>
          <w:p w:rsidR="007E03D7" w:rsidRPr="00E91604" w:rsidRDefault="007E03D7" w:rsidP="00E9160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T3N0-2M0</w:t>
            </w:r>
          </w:p>
        </w:tc>
        <w:tc>
          <w:tcPr>
            <w:tcW w:w="701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80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48</w:t>
            </w:r>
          </w:p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(100%)º</w:t>
            </w:r>
          </w:p>
        </w:tc>
        <w:tc>
          <w:tcPr>
            <w:tcW w:w="622" w:type="pct"/>
            <w:tcBorders>
              <w:right w:val="thinThickSmallGap" w:sz="24" w:space="0" w:color="auto"/>
            </w:tcBorders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48 (100%)</w:t>
            </w:r>
          </w:p>
        </w:tc>
        <w:tc>
          <w:tcPr>
            <w:tcW w:w="701" w:type="pct"/>
            <w:tcBorders>
              <w:left w:val="thinThickSmallGap" w:sz="24" w:space="0" w:color="auto"/>
            </w:tcBorders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5 (23,8%)</w:t>
            </w:r>
          </w:p>
        </w:tc>
        <w:tc>
          <w:tcPr>
            <w:tcW w:w="701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16 (76,2%)*</w:t>
            </w:r>
          </w:p>
        </w:tc>
        <w:tc>
          <w:tcPr>
            <w:tcW w:w="698" w:type="pct"/>
          </w:tcPr>
          <w:p w:rsidR="007E03D7" w:rsidRPr="00E91604" w:rsidRDefault="007E03D7" w:rsidP="00E9160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21 (100%)</w:t>
            </w:r>
          </w:p>
        </w:tc>
      </w:tr>
    </w:tbl>
    <w:p w:rsidR="007E03D7" w:rsidRPr="00644AE5" w:rsidRDefault="007E03D7" w:rsidP="00644A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Примечание: * - достоверное отличие между типом окрашивания при  </w:t>
      </w:r>
      <w:r w:rsidRPr="00644AE5">
        <w:rPr>
          <w:rFonts w:ascii="Times New Roman" w:hAnsi="Times New Roman"/>
          <w:sz w:val="28"/>
          <w:szCs w:val="28"/>
          <w:lang w:val="en-US"/>
        </w:rPr>
        <w:t>p</w:t>
      </w:r>
      <w:r w:rsidRPr="00644AE5">
        <w:rPr>
          <w:rFonts w:ascii="Times New Roman" w:hAnsi="Times New Roman"/>
          <w:sz w:val="28"/>
          <w:szCs w:val="28"/>
        </w:rPr>
        <w:t xml:space="preserve">&lt;0,05, º -   достоверное отличие между группами при  </w:t>
      </w:r>
      <w:r w:rsidRPr="00644AE5">
        <w:rPr>
          <w:rFonts w:ascii="Times New Roman" w:hAnsi="Times New Roman"/>
          <w:sz w:val="28"/>
          <w:szCs w:val="28"/>
          <w:lang w:val="en-US"/>
        </w:rPr>
        <w:t>p</w:t>
      </w:r>
      <w:r w:rsidRPr="00644AE5">
        <w:rPr>
          <w:rFonts w:ascii="Times New Roman" w:hAnsi="Times New Roman"/>
          <w:sz w:val="28"/>
          <w:szCs w:val="28"/>
        </w:rPr>
        <w:t>&lt;0,05.</w:t>
      </w:r>
    </w:p>
    <w:p w:rsidR="007E03D7" w:rsidRPr="00644AE5" w:rsidRDefault="007E03D7" w:rsidP="00644AE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В основной группе ядерно- цитоплазматический тип окрашивания опухолевых клеток при размерах опухоли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1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наблюдался приблизительно в половине случаев, при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2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0-2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– резко повышался до 91,9% и при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3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0-2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достигал 100%. В группе сравнения при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1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ядерно- цитоплазматический тип окрашивания опухолевых клеток имел место в трети случаев (33,3%), при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2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0-2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– в половине случаев (50%) и при  </w:t>
      </w:r>
      <w:r w:rsidRPr="00644AE5">
        <w:rPr>
          <w:rFonts w:ascii="Times New Roman" w:hAnsi="Times New Roman"/>
          <w:sz w:val="28"/>
          <w:szCs w:val="28"/>
          <w:lang w:val="en-US"/>
        </w:rPr>
        <w:t>T</w:t>
      </w:r>
      <w:r w:rsidRPr="00644AE5">
        <w:rPr>
          <w:rFonts w:ascii="Times New Roman" w:hAnsi="Times New Roman"/>
          <w:sz w:val="28"/>
          <w:szCs w:val="28"/>
        </w:rPr>
        <w:t>3</w:t>
      </w:r>
      <w:r w:rsidRPr="00644AE5">
        <w:rPr>
          <w:rFonts w:ascii="Times New Roman" w:hAnsi="Times New Roman"/>
          <w:sz w:val="28"/>
          <w:szCs w:val="28"/>
          <w:lang w:val="en-US"/>
        </w:rPr>
        <w:t>N</w:t>
      </w:r>
      <w:r w:rsidRPr="00644AE5">
        <w:rPr>
          <w:rFonts w:ascii="Times New Roman" w:hAnsi="Times New Roman"/>
          <w:sz w:val="28"/>
          <w:szCs w:val="28"/>
        </w:rPr>
        <w:t>0-2</w:t>
      </w:r>
      <w:r w:rsidRPr="00644AE5">
        <w:rPr>
          <w:rFonts w:ascii="Times New Roman" w:hAnsi="Times New Roman"/>
          <w:sz w:val="28"/>
          <w:szCs w:val="28"/>
          <w:lang w:val="en-US"/>
        </w:rPr>
        <w:t>M</w:t>
      </w:r>
      <w:r w:rsidRPr="00644AE5">
        <w:rPr>
          <w:rFonts w:ascii="Times New Roman" w:hAnsi="Times New Roman"/>
          <w:sz w:val="28"/>
          <w:szCs w:val="28"/>
        </w:rPr>
        <w:t xml:space="preserve">0 в 76,2%.  Следовательно, в основной группе развитие гнойно-септических осложнений было сопряжено с тем, что транслокация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ядро с активацией транскрипционной активности клеток была выражена сильнее. </w:t>
      </w: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Исследование экспрессии </w:t>
      </w:r>
      <w:r w:rsidRPr="00644AE5">
        <w:rPr>
          <w:rFonts w:ascii="Times New Roman" w:hAnsi="Times New Roman"/>
          <w:color w:val="000000"/>
          <w:sz w:val="28"/>
          <w:szCs w:val="28"/>
        </w:rPr>
        <w:t>транскрипционных факторов (HIF-1</w:t>
      </w:r>
      <w:r w:rsidRPr="00644AE5">
        <w:rPr>
          <w:rFonts w:ascii="Times New Roman" w:hAnsi="Times New Roman"/>
          <w:sz w:val="28"/>
          <w:szCs w:val="28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) </w:t>
      </w:r>
      <w:r w:rsidRPr="00644AE5">
        <w:rPr>
          <w:rFonts w:ascii="Times New Roman" w:hAnsi="Times New Roman"/>
          <w:color w:val="000000"/>
          <w:sz w:val="28"/>
          <w:szCs w:val="28"/>
        </w:rPr>
        <w:t>и ростовых факторов (</w:t>
      </w:r>
      <w:r w:rsidRPr="00644AE5">
        <w:rPr>
          <w:rFonts w:ascii="Times New Roman" w:hAnsi="Times New Roman"/>
          <w:color w:val="000000"/>
          <w:sz w:val="28"/>
          <w:szCs w:val="28"/>
          <w:lang w:val="en-US"/>
        </w:rPr>
        <w:t>VEGF</w:t>
      </w:r>
      <w:r w:rsidRPr="00644AE5">
        <w:rPr>
          <w:rFonts w:ascii="Times New Roman" w:hAnsi="Times New Roman"/>
          <w:color w:val="000000"/>
          <w:sz w:val="28"/>
          <w:szCs w:val="28"/>
        </w:rPr>
        <w:t>-А) в ткани опухоли рака СОПР сопряжено с инвазивным получением биоптата. Ротовая жидкость является более удобной биологической средой для проведения исследования. О</w:t>
      </w:r>
      <w:r w:rsidRPr="00644AE5">
        <w:rPr>
          <w:rFonts w:ascii="Times New Roman" w:eastAsia="TimesNewRomanPSMT" w:hAnsi="Times New Roman"/>
          <w:sz w:val="28"/>
          <w:szCs w:val="28"/>
        </w:rPr>
        <w:t xml:space="preserve">пределение биомаркеров в свободной нестимулированной слюне является новым подходом к ранней диагностике злокачественых опухолей  челюстно-лицевой области, к прогнозированию их рецидивирования и метастазирования. </w:t>
      </w:r>
      <w:r w:rsidRPr="00644AE5">
        <w:rPr>
          <w:rFonts w:ascii="Times New Roman" w:hAnsi="Times New Roman"/>
          <w:sz w:val="28"/>
          <w:szCs w:val="28"/>
        </w:rPr>
        <w:t xml:space="preserve">Уровни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 xml:space="preserve">-1 и </w:t>
      </w:r>
      <w:r w:rsidRPr="00644AE5">
        <w:rPr>
          <w:rFonts w:ascii="Times New Roman" w:hAnsi="Times New Roman"/>
          <w:sz w:val="28"/>
          <w:szCs w:val="28"/>
          <w:lang w:val="en-US"/>
        </w:rPr>
        <w:t>VEGF</w:t>
      </w:r>
      <w:r w:rsidRPr="00644AE5">
        <w:rPr>
          <w:rFonts w:ascii="Times New Roman" w:hAnsi="Times New Roman"/>
          <w:sz w:val="28"/>
          <w:szCs w:val="28"/>
        </w:rPr>
        <w:t xml:space="preserve"> в ротовой жидкости у больных основной группы и группы сравнения отражены в таблице 5. </w:t>
      </w:r>
    </w:p>
    <w:p w:rsidR="007E03D7" w:rsidRPr="00644AE5" w:rsidRDefault="007E03D7" w:rsidP="00644AE5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44AE5">
        <w:rPr>
          <w:rFonts w:ascii="Times New Roman" w:hAnsi="Times New Roman"/>
          <w:color w:val="000000"/>
          <w:sz w:val="28"/>
          <w:szCs w:val="28"/>
        </w:rPr>
        <w:t>Таблица 5.</w:t>
      </w:r>
    </w:p>
    <w:p w:rsidR="007E03D7" w:rsidRPr="00644AE5" w:rsidRDefault="007E03D7" w:rsidP="00644AE5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Содержание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и </w:t>
      </w:r>
      <w:r w:rsidRPr="00644AE5">
        <w:rPr>
          <w:rFonts w:ascii="Times New Roman" w:hAnsi="Times New Roman"/>
          <w:sz w:val="28"/>
          <w:szCs w:val="28"/>
          <w:lang w:val="en-US"/>
        </w:rPr>
        <w:t>VEGF</w:t>
      </w:r>
      <w:r w:rsidRPr="00644AE5">
        <w:rPr>
          <w:rFonts w:ascii="Times New Roman" w:hAnsi="Times New Roman"/>
          <w:sz w:val="28"/>
          <w:szCs w:val="28"/>
        </w:rPr>
        <w:t xml:space="preserve"> в ротовой жидкости и периферической крови у пациентов исследуемых групп.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3"/>
        <w:gridCol w:w="2069"/>
        <w:gridCol w:w="2069"/>
        <w:gridCol w:w="2071"/>
        <w:gridCol w:w="1004"/>
      </w:tblGrid>
      <w:tr w:rsidR="007E03D7" w:rsidRPr="00E91604" w:rsidTr="00E91604">
        <w:tc>
          <w:tcPr>
            <w:tcW w:w="1120" w:type="pct"/>
          </w:tcPr>
          <w:p w:rsidR="007E03D7" w:rsidRPr="00E91604" w:rsidRDefault="007E03D7" w:rsidP="00E916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118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Основная группа,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=96</w:t>
            </w:r>
          </w:p>
        </w:tc>
        <w:tc>
          <w:tcPr>
            <w:tcW w:w="1118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Группа сравнения, 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=45</w:t>
            </w:r>
          </w:p>
        </w:tc>
        <w:tc>
          <w:tcPr>
            <w:tcW w:w="1119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Здоровые доноры n=35 </w:t>
            </w:r>
          </w:p>
        </w:tc>
        <w:tc>
          <w:tcPr>
            <w:tcW w:w="525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 xml:space="preserve">р </w:t>
            </w:r>
            <w:r w:rsidRPr="00E91604">
              <w:rPr>
                <w:rFonts w:ascii="Times New Roman" w:hAnsi="Times New Roman"/>
                <w:sz w:val="28"/>
                <w:szCs w:val="28"/>
                <w:vertAlign w:val="subscript"/>
              </w:rPr>
              <w:t>осн-срав</w:t>
            </w:r>
          </w:p>
        </w:tc>
      </w:tr>
      <w:tr w:rsidR="007E03D7" w:rsidRPr="00E91604" w:rsidTr="00E91604">
        <w:tc>
          <w:tcPr>
            <w:tcW w:w="5000" w:type="pct"/>
            <w:gridSpan w:val="5"/>
          </w:tcPr>
          <w:p w:rsidR="007E03D7" w:rsidRPr="00E91604" w:rsidRDefault="007E03D7" w:rsidP="00E9160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1604">
              <w:rPr>
                <w:rFonts w:ascii="Times New Roman" w:hAnsi="Times New Roman"/>
                <w:b/>
                <w:sz w:val="28"/>
                <w:szCs w:val="28"/>
              </w:rPr>
              <w:t xml:space="preserve">Ротовая жидкость </w:t>
            </w:r>
          </w:p>
        </w:tc>
      </w:tr>
      <w:tr w:rsidR="007E03D7" w:rsidRPr="00E91604" w:rsidTr="00E91604">
        <w:tc>
          <w:tcPr>
            <w:tcW w:w="1120" w:type="pct"/>
          </w:tcPr>
          <w:p w:rsidR="007E03D7" w:rsidRPr="00E91604" w:rsidRDefault="007E03D7" w:rsidP="00E916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HIF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-1</w:t>
            </w: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sym w:font="Symbol" w:char="F061"/>
            </w:r>
            <w:r w:rsidRPr="00E91604">
              <w:rPr>
                <w:rFonts w:ascii="Times New Roman" w:hAnsi="Times New Roman"/>
                <w:sz w:val="28"/>
                <w:szCs w:val="28"/>
              </w:rPr>
              <w:t>,  мкг/мл</w:t>
            </w:r>
          </w:p>
        </w:tc>
        <w:tc>
          <w:tcPr>
            <w:tcW w:w="1118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37,5±1,16</w:t>
            </w:r>
          </w:p>
        </w:tc>
        <w:tc>
          <w:tcPr>
            <w:tcW w:w="1118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35,6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±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1,34</w:t>
            </w:r>
          </w:p>
        </w:tc>
        <w:tc>
          <w:tcPr>
            <w:tcW w:w="1119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±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25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&gt;0,05</w:t>
            </w:r>
          </w:p>
        </w:tc>
      </w:tr>
      <w:tr w:rsidR="007E03D7" w:rsidRPr="00E91604" w:rsidTr="00E91604">
        <w:tc>
          <w:tcPr>
            <w:tcW w:w="1120" w:type="pct"/>
          </w:tcPr>
          <w:p w:rsidR="007E03D7" w:rsidRPr="00E91604" w:rsidRDefault="007E03D7" w:rsidP="00E916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VEGF</w:t>
            </w:r>
            <w:r w:rsidRPr="00E91604">
              <w:rPr>
                <w:rFonts w:ascii="Times New Roman" w:hAnsi="Times New Roman"/>
                <w:sz w:val="28"/>
                <w:szCs w:val="28"/>
              </w:rPr>
              <w:t>, пг/мг</w:t>
            </w:r>
          </w:p>
        </w:tc>
        <w:tc>
          <w:tcPr>
            <w:tcW w:w="1118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31,2±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1,27</w:t>
            </w:r>
          </w:p>
        </w:tc>
        <w:tc>
          <w:tcPr>
            <w:tcW w:w="1118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24,6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±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1,83</w:t>
            </w:r>
          </w:p>
        </w:tc>
        <w:tc>
          <w:tcPr>
            <w:tcW w:w="1119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2,1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±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E91604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525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  <w:lang w:val="en-US"/>
              </w:rPr>
              <w:t>&lt;0,05</w:t>
            </w:r>
          </w:p>
        </w:tc>
      </w:tr>
      <w:tr w:rsidR="007E03D7" w:rsidRPr="00E91604" w:rsidTr="00E91604">
        <w:tc>
          <w:tcPr>
            <w:tcW w:w="5000" w:type="pct"/>
            <w:gridSpan w:val="5"/>
          </w:tcPr>
          <w:p w:rsidR="007E03D7" w:rsidRPr="00E91604" w:rsidRDefault="007E03D7" w:rsidP="00E9160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1604">
              <w:rPr>
                <w:rFonts w:ascii="Times New Roman" w:hAnsi="Times New Roman"/>
                <w:b/>
                <w:sz w:val="28"/>
                <w:szCs w:val="28"/>
              </w:rPr>
              <w:t>Периферическая кровь</w:t>
            </w:r>
          </w:p>
        </w:tc>
      </w:tr>
      <w:tr w:rsidR="007E03D7" w:rsidRPr="00E91604" w:rsidTr="00E91604">
        <w:tc>
          <w:tcPr>
            <w:tcW w:w="1120" w:type="pct"/>
          </w:tcPr>
          <w:p w:rsidR="007E03D7" w:rsidRPr="00E91604" w:rsidRDefault="007E03D7" w:rsidP="00E916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HIF-1</w:t>
            </w:r>
            <w:r w:rsidRPr="00E91604">
              <w:rPr>
                <w:rFonts w:ascii="Times New Roman" w:hAnsi="Times New Roman"/>
                <w:sz w:val="28"/>
                <w:szCs w:val="28"/>
              </w:rPr>
              <w:sym w:font="Symbol" w:char="F061"/>
            </w:r>
            <w:r w:rsidRPr="00E91604">
              <w:rPr>
                <w:rFonts w:ascii="Times New Roman" w:hAnsi="Times New Roman"/>
                <w:sz w:val="28"/>
                <w:szCs w:val="28"/>
              </w:rPr>
              <w:t>,  мкг/мл</w:t>
            </w:r>
          </w:p>
        </w:tc>
        <w:tc>
          <w:tcPr>
            <w:tcW w:w="1118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83,2±5,43</w:t>
            </w:r>
          </w:p>
        </w:tc>
        <w:tc>
          <w:tcPr>
            <w:tcW w:w="1118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45,7±3,81</w:t>
            </w:r>
          </w:p>
        </w:tc>
        <w:tc>
          <w:tcPr>
            <w:tcW w:w="1119" w:type="pct"/>
          </w:tcPr>
          <w:p w:rsidR="007E03D7" w:rsidRPr="00E91604" w:rsidRDefault="007E03D7" w:rsidP="00E916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33,2±1,84</w:t>
            </w:r>
          </w:p>
        </w:tc>
        <w:tc>
          <w:tcPr>
            <w:tcW w:w="525" w:type="pct"/>
          </w:tcPr>
          <w:p w:rsidR="007E03D7" w:rsidRPr="00E91604" w:rsidRDefault="007E03D7" w:rsidP="00E916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1604">
              <w:rPr>
                <w:rFonts w:ascii="Times New Roman" w:hAnsi="Times New Roman"/>
                <w:sz w:val="28"/>
                <w:szCs w:val="28"/>
              </w:rPr>
              <w:t>&lt;0,001</w:t>
            </w:r>
          </w:p>
        </w:tc>
      </w:tr>
    </w:tbl>
    <w:p w:rsidR="007E03D7" w:rsidRPr="00644AE5" w:rsidRDefault="007E03D7" w:rsidP="00644AE5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44AE5">
        <w:rPr>
          <w:rFonts w:ascii="Times New Roman" w:hAnsi="Times New Roman"/>
          <w:color w:val="000000"/>
          <w:sz w:val="28"/>
          <w:szCs w:val="28"/>
        </w:rPr>
        <w:t xml:space="preserve">Содержание в ротовой жидкости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у</w:t>
      </w:r>
      <w:r w:rsidRPr="00644AE5">
        <w:rPr>
          <w:rFonts w:ascii="Times New Roman" w:hAnsi="Times New Roman"/>
          <w:color w:val="000000"/>
          <w:sz w:val="28"/>
          <w:szCs w:val="28"/>
        </w:rPr>
        <w:t xml:space="preserve"> пациентов основной группы и группы сравнения </w:t>
      </w:r>
      <w:r w:rsidRPr="00644AE5">
        <w:rPr>
          <w:rFonts w:ascii="Times New Roman" w:hAnsi="Times New Roman"/>
          <w:sz w:val="28"/>
          <w:szCs w:val="28"/>
        </w:rPr>
        <w:t xml:space="preserve"> практически не различалось. Это может быть связано со сложной белковой структурой гипоксия-зависимого фактора и трудностями его попадания в ротовую жидкость, поскольку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относится к тканевым факторам, регулирующим транскрипцию, и более  информативен при исследовании его в ткани. У больных основной группы статистически значимые отличия концентраций в ротовой  жидкости были установлены для ростового фактора </w:t>
      </w:r>
      <w:r w:rsidRPr="00644AE5">
        <w:rPr>
          <w:rFonts w:ascii="Times New Roman" w:hAnsi="Times New Roman"/>
          <w:sz w:val="28"/>
          <w:szCs w:val="28"/>
          <w:lang w:val="en-US"/>
        </w:rPr>
        <w:t>VEGF</w:t>
      </w:r>
      <w:r w:rsidRPr="00644AE5">
        <w:rPr>
          <w:rFonts w:ascii="Times New Roman" w:hAnsi="Times New Roman"/>
          <w:sz w:val="28"/>
          <w:szCs w:val="28"/>
        </w:rPr>
        <w:t xml:space="preserve">. У пациентов основной группы в отличие от больных группы сравнения концентрация сосудистого фактора </w:t>
      </w:r>
      <w:r w:rsidRPr="00644AE5">
        <w:rPr>
          <w:rFonts w:ascii="Times New Roman" w:hAnsi="Times New Roman"/>
          <w:sz w:val="28"/>
          <w:szCs w:val="28"/>
          <w:lang w:val="en-US"/>
        </w:rPr>
        <w:t>VEGF</w:t>
      </w:r>
      <w:r w:rsidRPr="00644AE5">
        <w:rPr>
          <w:rFonts w:ascii="Times New Roman" w:hAnsi="Times New Roman"/>
          <w:sz w:val="28"/>
          <w:szCs w:val="28"/>
        </w:rPr>
        <w:t xml:space="preserve"> была повышена на 26,8% (</w:t>
      </w:r>
      <w:r w:rsidRPr="00644AE5">
        <w:rPr>
          <w:rFonts w:ascii="Times New Roman" w:hAnsi="Times New Roman"/>
          <w:sz w:val="28"/>
          <w:szCs w:val="28"/>
          <w:lang w:val="en-US"/>
        </w:rPr>
        <w:t>p</w:t>
      </w:r>
      <w:r w:rsidRPr="00644AE5">
        <w:rPr>
          <w:rFonts w:ascii="Times New Roman" w:hAnsi="Times New Roman"/>
          <w:sz w:val="28"/>
          <w:szCs w:val="28"/>
        </w:rPr>
        <w:t xml:space="preserve">&lt;0,05). Таким образом, при развитии гнойных осложнений местно в биологических средах повышается уровень </w:t>
      </w:r>
      <w:r w:rsidRPr="00644AE5">
        <w:rPr>
          <w:rFonts w:ascii="Times New Roman" w:hAnsi="Times New Roman"/>
          <w:sz w:val="28"/>
          <w:szCs w:val="28"/>
          <w:lang w:val="en-US"/>
        </w:rPr>
        <w:t>VEGF</w:t>
      </w:r>
      <w:r w:rsidRPr="00644AE5">
        <w:rPr>
          <w:rFonts w:ascii="Times New Roman" w:hAnsi="Times New Roman"/>
          <w:sz w:val="28"/>
          <w:szCs w:val="28"/>
        </w:rPr>
        <w:t xml:space="preserve">, способствующий ангио- и лимфогенезу, повышающий проницаемость сосудов. </w:t>
      </w:r>
    </w:p>
    <w:p w:rsidR="007E03D7" w:rsidRPr="00644AE5" w:rsidRDefault="007E03D7" w:rsidP="00644A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Поскольку у больных изучаемых двух групп в ткани опухоли различие содержания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было выраженным, а в ротовой жидкости отличий не было, то было предпринято определение концентрации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сыворотке крови (табл. 5). У больных основной группы по сравнению с группой сравнения уровень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сыворотке крови был на 82,1% выше (</w:t>
      </w:r>
      <w:r w:rsidRPr="00644AE5">
        <w:rPr>
          <w:rFonts w:ascii="Times New Roman" w:hAnsi="Times New Roman"/>
          <w:sz w:val="28"/>
          <w:szCs w:val="28"/>
          <w:lang w:val="en-US"/>
        </w:rPr>
        <w:t>p</w:t>
      </w:r>
      <w:r w:rsidRPr="00644AE5">
        <w:rPr>
          <w:rFonts w:ascii="Times New Roman" w:hAnsi="Times New Roman"/>
          <w:sz w:val="28"/>
          <w:szCs w:val="28"/>
        </w:rPr>
        <w:t>&lt;0,001), а по сравнению со здоровыми донорами – на  150,6% выше (</w:t>
      </w:r>
      <w:r w:rsidRPr="00644AE5">
        <w:rPr>
          <w:rFonts w:ascii="Times New Roman" w:hAnsi="Times New Roman"/>
          <w:sz w:val="28"/>
          <w:szCs w:val="28"/>
          <w:lang w:val="en-US"/>
        </w:rPr>
        <w:t>p</w:t>
      </w:r>
      <w:r w:rsidRPr="00644AE5">
        <w:rPr>
          <w:rFonts w:ascii="Times New Roman" w:hAnsi="Times New Roman"/>
          <w:sz w:val="28"/>
          <w:szCs w:val="28"/>
        </w:rPr>
        <w:t xml:space="preserve">&lt;0,001). </w:t>
      </w: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4AE5">
        <w:rPr>
          <w:rFonts w:ascii="Times New Roman" w:hAnsi="Times New Roman"/>
          <w:sz w:val="28"/>
          <w:szCs w:val="28"/>
        </w:rPr>
        <w:t xml:space="preserve">Итак, развитие гнойных воспалительных послеоперационных осложнений у больных раком СОПР сопряжено с повышением экспрессии в ткани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и его перемещение</w:t>
      </w:r>
      <w:r>
        <w:rPr>
          <w:rFonts w:ascii="Times New Roman" w:hAnsi="Times New Roman"/>
          <w:sz w:val="28"/>
          <w:szCs w:val="28"/>
        </w:rPr>
        <w:t>м</w:t>
      </w:r>
      <w:r w:rsidRPr="00644AE5">
        <w:rPr>
          <w:rFonts w:ascii="Times New Roman" w:hAnsi="Times New Roman"/>
          <w:sz w:val="28"/>
          <w:szCs w:val="28"/>
        </w:rPr>
        <w:t xml:space="preserve"> из цитоплазмы в ядро, активация процессов неоангиогенеза. Оценка же содержания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в ротовой жидкости была мало информативной, поскольку не отражала интенсивности тканевой экспрессии гипоксия-зависимого транскрипционного фактора. Более информативным является определение </w:t>
      </w:r>
      <w:r w:rsidRPr="00644AE5">
        <w:rPr>
          <w:rFonts w:ascii="Times New Roman" w:hAnsi="Times New Roman"/>
          <w:sz w:val="28"/>
          <w:szCs w:val="28"/>
          <w:lang w:val="en-US"/>
        </w:rPr>
        <w:t>HIF</w:t>
      </w:r>
      <w:r w:rsidRPr="00644AE5">
        <w:rPr>
          <w:rFonts w:ascii="Times New Roman" w:hAnsi="Times New Roman"/>
          <w:sz w:val="28"/>
          <w:szCs w:val="28"/>
        </w:rPr>
        <w:t>-1</w:t>
      </w:r>
      <w:r w:rsidRPr="00644AE5">
        <w:rPr>
          <w:rFonts w:ascii="Times New Roman" w:hAnsi="Times New Roman"/>
          <w:sz w:val="28"/>
          <w:szCs w:val="28"/>
          <w:lang w:val="en-US"/>
        </w:rPr>
        <w:sym w:font="Symbol" w:char="F061"/>
      </w:r>
      <w:r w:rsidRPr="00644AE5">
        <w:rPr>
          <w:rFonts w:ascii="Times New Roman" w:hAnsi="Times New Roman"/>
          <w:sz w:val="28"/>
          <w:szCs w:val="28"/>
        </w:rPr>
        <w:t xml:space="preserve"> фактора в сыворотке крови, что при дальнейшей разработке может быть использовано как неинвазивный диагностический маркер для прогнозирования течения послеоперационного периода у этой категории больных.</w:t>
      </w: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/>
          <w:sz w:val="28"/>
          <w:szCs w:val="28"/>
        </w:rPr>
      </w:pPr>
    </w:p>
    <w:p w:rsidR="007E03D7" w:rsidRPr="00E3274D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-Roman" w:hAnsi="Times New Roman"/>
          <w:b/>
          <w:sz w:val="28"/>
          <w:szCs w:val="28"/>
        </w:rPr>
      </w:pPr>
      <w:r w:rsidRPr="00E3274D">
        <w:rPr>
          <w:rFonts w:ascii="Times New Roman" w:eastAsia="Times-Roman" w:hAnsi="Times New Roman"/>
          <w:b/>
          <w:sz w:val="28"/>
          <w:szCs w:val="28"/>
        </w:rPr>
        <w:t>Литература.</w:t>
      </w:r>
    </w:p>
    <w:p w:rsidR="007E03D7" w:rsidRPr="00E3274D" w:rsidRDefault="007E03D7" w:rsidP="00B7136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274D">
        <w:rPr>
          <w:rFonts w:ascii="Times New Roman" w:hAnsi="Times New Roman"/>
          <w:color w:val="000000"/>
          <w:sz w:val="24"/>
          <w:szCs w:val="24"/>
          <w:lang w:eastAsia="ru-RU"/>
        </w:rPr>
        <w:t>Кирова, Ю.И. Влияние гипоксии на динамику содержания HIF-1aльфа в коре головного мозга и формирование адаптации у крыс с различной резистентностью к гипоксии / Ю.И.Кирова // Патол. физиология и эксперим. терапия. –2012. –№3. –С.51-55.</w:t>
      </w:r>
    </w:p>
    <w:p w:rsidR="007E03D7" w:rsidRPr="00E3274D" w:rsidRDefault="007E03D7" w:rsidP="00B7136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3274D">
        <w:rPr>
          <w:rFonts w:ascii="Times New Roman" w:hAnsi="Times New Roman"/>
          <w:sz w:val="24"/>
          <w:szCs w:val="24"/>
        </w:rPr>
        <w:t xml:space="preserve">Кононенко, В.И. Прогнозирование гнойно-септических осложнений у больных раком слизистой оболочки полости рта/ В. И. Кононенко, О. И. Кит, Е.Ф.Комарова, А. Ю.Максимов,  А.А. Демидова // Научное обозрение. -2015. –№16. –С.214-219. </w:t>
      </w:r>
    </w:p>
    <w:p w:rsidR="007E03D7" w:rsidRPr="00E3274D" w:rsidRDefault="007E03D7" w:rsidP="00B7136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E3274D">
        <w:rPr>
          <w:rFonts w:ascii="Times New Roman" w:hAnsi="Times New Roman"/>
          <w:color w:val="000000"/>
          <w:sz w:val="24"/>
          <w:szCs w:val="24"/>
          <w:lang w:val="en-US" w:eastAsia="ru-RU"/>
        </w:rPr>
        <w:t>De Lima P.O., Hypoxic condition and prognosis in  oral squamous cell carcinoma./ P.O.De Lima, C.C.Jorge, D.T.Oliveira, M.C.  Pereira // Anticancer research. —2014. —Vol.34. —P.605-612.</w:t>
      </w:r>
    </w:p>
    <w:p w:rsidR="007E03D7" w:rsidRPr="00E3274D" w:rsidRDefault="007E03D7" w:rsidP="00B7136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E3274D">
        <w:rPr>
          <w:rFonts w:ascii="Times New Roman" w:hAnsi="Times New Roman"/>
          <w:color w:val="000000"/>
          <w:sz w:val="24"/>
          <w:szCs w:val="24"/>
          <w:lang w:val="en-US" w:eastAsia="ru-RU"/>
        </w:rPr>
        <w:t>Huang, C. Association of increased ligand cyclophilin A and receptor CD147 with hypoxia, angiogenesis, metastasis and prognosis of tongue squamous cell carcinoma/ C. Huang, Z.Sun, Y.Sun, X. Chen et al.  // Histopathology. –2012. –Vol.60. –P.793-803.</w:t>
      </w:r>
    </w:p>
    <w:tbl>
      <w:tblPr>
        <w:tblW w:w="0" w:type="auto"/>
        <w:tblLook w:val="00A0"/>
      </w:tblPr>
      <w:tblGrid>
        <w:gridCol w:w="9286"/>
      </w:tblGrid>
      <w:tr w:rsidR="007E03D7" w:rsidRPr="00E91604" w:rsidTr="00E91604">
        <w:tc>
          <w:tcPr>
            <w:tcW w:w="9571" w:type="dxa"/>
          </w:tcPr>
          <w:p w:rsidR="007E03D7" w:rsidRPr="00E91604" w:rsidRDefault="007E03D7" w:rsidP="00E91604">
            <w:pPr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9160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Kang, F.W. Hypoxiainducible factor-1</w:t>
            </w:r>
            <w:r w:rsidRPr="00E916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α</w:t>
            </w:r>
            <w:r w:rsidRPr="00E9160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overexpression indicates poor clinical outcomes in tongue squamous cell carcinoma/ F.W. Kang, Y. Gao, L. Que, J. Sun, Z.L. Wang,  F.W. Kang // Exp. ther. med. –2013. –Vol.5. –P.112-118.  </w:t>
            </w:r>
          </w:p>
          <w:p w:rsidR="007E03D7" w:rsidRPr="00E91604" w:rsidRDefault="007E03D7" w:rsidP="00E91604">
            <w:pPr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9160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Lin, P.Y. Expression of hypoxia-inducible factor-1 alpha is significantly associated with the progression and prognosis of oral squamous cell carcinomas in Taiwan/  P.Y. Lin, C.H. Yu, J.T. Wang, H.H. Chen, S.J. Cheng, M.Y. Kuo, C.P. Chiang // J. Oral. pathol. med. –2008. –Vol.37. –P.18-25.  </w:t>
            </w:r>
          </w:p>
          <w:p w:rsidR="007E03D7" w:rsidRPr="00E91604" w:rsidRDefault="007E03D7" w:rsidP="00E91604">
            <w:pPr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9160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Perez-Sayans, M. Hypoxia-inducible factors in OSCC./ M.Perez-Sayans, J.M.Suárez-Peñaranda, G.D.Pilar, F. Barros-Angueira  //Cancer letters. – 2011. – Vol. 313, N1/ - P.1-8.</w:t>
            </w:r>
          </w:p>
          <w:p w:rsidR="007E03D7" w:rsidRPr="00E91604" w:rsidRDefault="007E03D7" w:rsidP="00E91604">
            <w:pPr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9160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Semenza, G.L. Hypoxia-inducible factors in physiology and medicine/</w:t>
            </w:r>
            <w:r w:rsidRPr="00E916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G.L.  Semenza</w:t>
            </w:r>
            <w:r w:rsidRPr="00E9160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// Cell. 2012. Т. 148. №3. – С. 399-408.</w:t>
            </w:r>
          </w:p>
          <w:p w:rsidR="007E03D7" w:rsidRPr="00E91604" w:rsidRDefault="007E03D7" w:rsidP="00E91604">
            <w:pPr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1604">
              <w:rPr>
                <w:rFonts w:ascii="Times New Roman" w:hAnsi="Times New Roman"/>
                <w:sz w:val="24"/>
                <w:szCs w:val="24"/>
                <w:lang w:val="en-US"/>
              </w:rPr>
              <w:t>Semenza, G.L. Oxygen sensing, hypoxia-inducible factors, and disease pathophysiology./ G.L.  Semenza // Ann. rev. pathol. –2013. –Vol.7. –P.7.</w:t>
            </w:r>
          </w:p>
          <w:p w:rsidR="007E03D7" w:rsidRPr="00E91604" w:rsidRDefault="007E03D7" w:rsidP="00E91604">
            <w:pPr>
              <w:numPr>
                <w:ilvl w:val="0"/>
                <w:numId w:val="6"/>
              </w:numPr>
              <w:tabs>
                <w:tab w:val="left" w:pos="993"/>
              </w:tabs>
              <w:spacing w:after="0" w:line="240" w:lineRule="auto"/>
              <w:ind w:left="0"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91604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Shang,  Z.J. Up-regulation of serum and tissue vascular endothelial growth factor correlates with angiogenesis and prognosis of oral squamous cell carcinoma/ Z.J. Shang, J.R. Li, Z.B.  Li // J. Oral. maxillofac. surg. –2007. –Vol.65. –P.17-21.</w:t>
            </w:r>
          </w:p>
        </w:tc>
      </w:tr>
    </w:tbl>
    <w:p w:rsidR="007E03D7" w:rsidRPr="00E3274D" w:rsidRDefault="007E03D7" w:rsidP="00B7136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en-US" w:eastAsia="ru-RU"/>
        </w:rPr>
      </w:pPr>
      <w:r w:rsidRPr="00E3274D">
        <w:rPr>
          <w:rFonts w:ascii="Times New Roman" w:hAnsi="Times New Roman"/>
          <w:color w:val="000000"/>
          <w:sz w:val="24"/>
          <w:szCs w:val="24"/>
          <w:lang w:val="en-US" w:eastAsia="ru-RU"/>
        </w:rPr>
        <w:t>Myllyharju, J. Hypoxia-inducible factor prolyl 4-hydroxylases: common and specific roles/ J.Myllyharju, P.Koivunen // Biol. Chem. –2013. –Vol. 394. –N4. –P.435-448.</w:t>
      </w:r>
    </w:p>
    <w:p w:rsidR="007E03D7" w:rsidRDefault="007E03D7" w:rsidP="00B71360">
      <w:p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E03D7" w:rsidRPr="00877AB8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3274D">
        <w:rPr>
          <w:rFonts w:ascii="Times New Roman" w:hAnsi="Times New Roman"/>
          <w:b/>
          <w:sz w:val="28"/>
          <w:szCs w:val="28"/>
          <w:lang w:val="en-US"/>
        </w:rPr>
        <w:t>References</w:t>
      </w:r>
      <w:r w:rsidRPr="00877AB8">
        <w:rPr>
          <w:rFonts w:ascii="Times New Roman" w:hAnsi="Times New Roman"/>
          <w:b/>
          <w:sz w:val="28"/>
          <w:szCs w:val="28"/>
          <w:lang w:val="en-US"/>
        </w:rPr>
        <w:t>.</w:t>
      </w:r>
    </w:p>
    <w:p w:rsidR="007E03D7" w:rsidRPr="007F188E" w:rsidRDefault="007E03D7" w:rsidP="007F188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7F188E">
        <w:rPr>
          <w:rFonts w:ascii="Times New Roman" w:eastAsia="Times-Roman" w:hAnsi="Times New Roman"/>
          <w:sz w:val="24"/>
          <w:szCs w:val="24"/>
          <w:lang w:val="en-US"/>
        </w:rPr>
        <w:t>1.</w:t>
      </w:r>
      <w:r w:rsidRPr="007F188E">
        <w:rPr>
          <w:rFonts w:ascii="Times New Roman" w:eastAsia="Times-Roman" w:hAnsi="Times New Roman"/>
          <w:sz w:val="24"/>
          <w:szCs w:val="24"/>
          <w:lang w:val="en-US"/>
        </w:rPr>
        <w:tab/>
        <w:t>Kirova, Ju.I. Vlijanie gipoksii na dinamiku soderzhanija HIF-1al'fa v kore golovnogo mozga i formirovanie adaptacii u krys s razlichnoj rezistentnost'ju k gipoksii / Ju.I.Kirova // Patol. fiziologija i jeksperim. terapija. –2012. –№3. –S.51-55.</w:t>
      </w:r>
    </w:p>
    <w:p w:rsidR="007E03D7" w:rsidRDefault="007E03D7" w:rsidP="007F188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7F188E">
        <w:rPr>
          <w:rFonts w:ascii="Times New Roman" w:eastAsia="Times-Roman" w:hAnsi="Times New Roman"/>
          <w:sz w:val="24"/>
          <w:szCs w:val="24"/>
          <w:lang w:val="en-US"/>
        </w:rPr>
        <w:t>2.</w:t>
      </w:r>
      <w:r w:rsidRPr="007F188E">
        <w:rPr>
          <w:rFonts w:ascii="Times New Roman" w:eastAsia="Times-Roman" w:hAnsi="Times New Roman"/>
          <w:sz w:val="24"/>
          <w:szCs w:val="24"/>
          <w:lang w:val="en-US"/>
        </w:rPr>
        <w:tab/>
        <w:t xml:space="preserve">Kononenko, V.I. Prognozirovanie gnojno-septicheskih oslozhnenij u bol'nyh rakom slizistoj obolochki polosti rta/ V. I. Kononenko, O. I. Kit, E.F.Komarova, A. Ju.Maksimov,  A.A. Demidova // Nauchnoe obozrenie. -2015. –№16. –S.214-219. </w:t>
      </w:r>
    </w:p>
    <w:p w:rsidR="007E03D7" w:rsidRPr="00E3274D" w:rsidRDefault="007E03D7" w:rsidP="007F188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E3274D">
        <w:rPr>
          <w:rFonts w:ascii="Times New Roman" w:eastAsia="Times-Roman" w:hAnsi="Times New Roman"/>
          <w:sz w:val="24"/>
          <w:szCs w:val="24"/>
          <w:lang w:val="en-US"/>
        </w:rPr>
        <w:t>3.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ab/>
        <w:t>De Lima P.O., Hypoxic condition and prognosis in  oral squamous cell carcinoma./ P.O.De Lima, C.C.Jorge, D.T.Oliveira, M.C.  Pereira // Anticancer research. —2014. —Vol.34. —P.605-612.</w:t>
      </w:r>
    </w:p>
    <w:p w:rsidR="007E03D7" w:rsidRPr="00E3274D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E3274D">
        <w:rPr>
          <w:rFonts w:ascii="Times New Roman" w:eastAsia="Times-Roman" w:hAnsi="Times New Roman"/>
          <w:sz w:val="24"/>
          <w:szCs w:val="24"/>
          <w:lang w:val="en-US"/>
        </w:rPr>
        <w:t>4.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ab/>
        <w:t>Huang, C. Association of increased ligand cyclophilin A and receptor CD147 with hypoxia, angiogenesis, metastasis and prognosis of tongue squamous cell carcinoma/ C. Huang, Z.Sun, Y.Sun, X. Chen et al.  // Histopathology. –2012. –Vol.60. –P.793-803.</w:t>
      </w:r>
    </w:p>
    <w:p w:rsidR="007E03D7" w:rsidRPr="00E3274D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E3274D">
        <w:rPr>
          <w:rFonts w:ascii="Times New Roman" w:eastAsia="Times-Roman" w:hAnsi="Times New Roman"/>
          <w:sz w:val="24"/>
          <w:szCs w:val="24"/>
          <w:lang w:val="en-US"/>
        </w:rPr>
        <w:t>5.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ab/>
        <w:t>Kang, F.W. Hypoxiainducible factor-1</w:t>
      </w:r>
      <w:r w:rsidRPr="00E3274D">
        <w:rPr>
          <w:rFonts w:ascii="Times New Roman" w:eastAsia="Times-Roman" w:hAnsi="Times New Roman"/>
          <w:sz w:val="24"/>
          <w:szCs w:val="24"/>
        </w:rPr>
        <w:t>α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 xml:space="preserve"> overexpression indicates poor clinical outcomes in tongue squamous cell carcinoma/ F.W. Kang, Y. Gao, L. Que, J. Sun, Z.L. Wang,  F.W. Kang // Exp. ther. med. –2013. –Vol.5. –P.112-118.  </w:t>
      </w:r>
    </w:p>
    <w:p w:rsidR="007E03D7" w:rsidRPr="00E3274D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E3274D">
        <w:rPr>
          <w:rFonts w:ascii="Times New Roman" w:eastAsia="Times-Roman" w:hAnsi="Times New Roman"/>
          <w:sz w:val="24"/>
          <w:szCs w:val="24"/>
          <w:lang w:val="en-US"/>
        </w:rPr>
        <w:t>6.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ab/>
        <w:t xml:space="preserve">Lin, P.Y. Expression of hypoxia-inducible factor-1 alpha is significantly associated with the progression and prognosis of oral squamous cell carcinomas in Taiwan/  P.Y. Lin, C.H. Yu, J.T. Wang, H.H. Chen, S.J. Cheng, M.Y. Kuo, C.P. Chiang // J. Oral. pathol. med. –2008. –Vol.37. –P.18-25.  </w:t>
      </w:r>
    </w:p>
    <w:p w:rsidR="007E03D7" w:rsidRPr="00E3274D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E3274D">
        <w:rPr>
          <w:rFonts w:ascii="Times New Roman" w:eastAsia="Times-Roman" w:hAnsi="Times New Roman"/>
          <w:sz w:val="24"/>
          <w:szCs w:val="24"/>
          <w:lang w:val="en-US"/>
        </w:rPr>
        <w:t>7.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ab/>
        <w:t>Perez-Sayans, M. Hypoxia-inducible factors in OSCC./ M.Perez-Sayans, J.M.Suárez-Peñaranda, G.D.Pilar, F. Barros-Angueira  //Cancer letters. – 2011. – Vol. 313, N1/ - P.1-8.</w:t>
      </w:r>
    </w:p>
    <w:p w:rsidR="007E03D7" w:rsidRPr="00E3274D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E3274D">
        <w:rPr>
          <w:rFonts w:ascii="Times New Roman" w:eastAsia="Times-Roman" w:hAnsi="Times New Roman"/>
          <w:sz w:val="24"/>
          <w:szCs w:val="24"/>
          <w:lang w:val="en-US"/>
        </w:rPr>
        <w:t>8.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ab/>
        <w:t>Semenza, G.L. Hypoxia-inducible factors in physiology and medicine/ G.L.  Semenza // Cell. 2012. T. 148. №3. – S. 399-408.</w:t>
      </w:r>
    </w:p>
    <w:p w:rsidR="007E03D7" w:rsidRPr="00E3274D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E3274D">
        <w:rPr>
          <w:rFonts w:ascii="Times New Roman" w:eastAsia="Times-Roman" w:hAnsi="Times New Roman"/>
          <w:sz w:val="24"/>
          <w:szCs w:val="24"/>
          <w:lang w:val="en-US"/>
        </w:rPr>
        <w:t>9.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ab/>
        <w:t>Semenza, G.L. Oxygen sensing, hypoxia-inducible factors, and disease pathophysiology./ G.L.  Semenza // Ann. rev. pathol. –2013. –Vol.7. –P.7.</w:t>
      </w:r>
    </w:p>
    <w:p w:rsidR="007E03D7" w:rsidRPr="00E3274D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  <w:lang w:val="en-US"/>
        </w:rPr>
      </w:pPr>
      <w:r w:rsidRPr="00E3274D">
        <w:rPr>
          <w:rFonts w:ascii="Times New Roman" w:eastAsia="Times-Roman" w:hAnsi="Times New Roman"/>
          <w:sz w:val="24"/>
          <w:szCs w:val="24"/>
          <w:lang w:val="en-US"/>
        </w:rPr>
        <w:t>10.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ab/>
        <w:t>Shang,  Z.J. Up-regulation of serum and tissue vascular endothelial growth factor correlates with angiogenesis and prognosis of oral squamous cell carcinoma/ Z.J. Shang, J.R. Li, Z.B.  Li // J. Oral. maxillofac. surg. –2007. –Vol.65. –P.17-21.</w:t>
      </w:r>
    </w:p>
    <w:p w:rsidR="007E03D7" w:rsidRPr="00E3274D" w:rsidRDefault="007E03D7" w:rsidP="00B7136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/>
          <w:sz w:val="24"/>
          <w:szCs w:val="24"/>
        </w:rPr>
      </w:pPr>
      <w:r w:rsidRPr="00E3274D">
        <w:rPr>
          <w:rFonts w:ascii="Times New Roman" w:eastAsia="Times-Roman" w:hAnsi="Times New Roman"/>
          <w:sz w:val="24"/>
          <w:szCs w:val="24"/>
          <w:lang w:val="en-US"/>
        </w:rPr>
        <w:t>11.</w:t>
      </w:r>
      <w:r w:rsidRPr="00E3274D">
        <w:rPr>
          <w:rFonts w:ascii="Times New Roman" w:eastAsia="Times-Roman" w:hAnsi="Times New Roman"/>
          <w:sz w:val="24"/>
          <w:szCs w:val="24"/>
          <w:lang w:val="en-US"/>
        </w:rPr>
        <w:tab/>
        <w:t xml:space="preserve">Myllyharju, J. Hypoxia-inducible factor prolyl 4-hydroxylases: common and specific roles/ J.Myllyharju, P.Koivunen // Biol. </w:t>
      </w:r>
      <w:r w:rsidRPr="00E3274D">
        <w:rPr>
          <w:rFonts w:ascii="Times New Roman" w:eastAsia="Times-Roman" w:hAnsi="Times New Roman"/>
          <w:sz w:val="24"/>
          <w:szCs w:val="24"/>
        </w:rPr>
        <w:t>Chem. –2013. –Vol. 394. –N4. –P.435-448.</w:t>
      </w: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/>
          <w:sz w:val="28"/>
          <w:szCs w:val="28"/>
        </w:rPr>
      </w:pPr>
    </w:p>
    <w:p w:rsidR="007E03D7" w:rsidRPr="00644AE5" w:rsidRDefault="007E03D7" w:rsidP="00644A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/>
          <w:sz w:val="28"/>
          <w:szCs w:val="28"/>
        </w:rPr>
      </w:pPr>
    </w:p>
    <w:sectPr w:rsidR="007E03D7" w:rsidRPr="00644AE5" w:rsidSect="00644AE5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3D7" w:rsidRDefault="007E03D7" w:rsidP="00644AE5">
      <w:pPr>
        <w:spacing w:after="0" w:line="240" w:lineRule="auto"/>
      </w:pPr>
      <w:r>
        <w:separator/>
      </w:r>
    </w:p>
  </w:endnote>
  <w:endnote w:type="continuationSeparator" w:id="0">
    <w:p w:rsidR="007E03D7" w:rsidRDefault="007E03D7" w:rsidP="00644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Pro-I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ヒラギノ角ゴ Pro W3">
    <w:altName w:val="MS P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3D7" w:rsidRDefault="007E03D7">
    <w:pPr>
      <w:pStyle w:val="Footer"/>
    </w:pPr>
    <w:bookmarkStart w:id="1" w:name="OLE_LINK32"/>
    <w:bookmarkStart w:id="2" w:name="OLE_LINK33"/>
    <w:bookmarkStart w:id="3" w:name="OLE_LINK34"/>
    <w:bookmarkStart w:id="4" w:name="OLE_LINK35"/>
    <w:bookmarkStart w:id="5" w:name="OLE_LINK36"/>
    <w:bookmarkStart w:id="6" w:name="OLE_LINK37"/>
    <w:bookmarkStart w:id="7" w:name="OLE_LINK38"/>
    <w:bookmarkStart w:id="8" w:name="OLE_LINK39"/>
    <w:r w:rsidRPr="002A2341">
      <w:rPr>
        <w:rFonts w:ascii="Times New Roman" w:hAnsi="Times New Roman"/>
        <w:sz w:val="24"/>
        <w:szCs w:val="24"/>
      </w:rPr>
      <w:t>http://ej.kubagro.ru/2017/04/pdf/</w:t>
    </w:r>
    <w:r>
      <w:rPr>
        <w:rFonts w:ascii="Times New Roman" w:hAnsi="Times New Roman"/>
        <w:sz w:val="24"/>
        <w:szCs w:val="24"/>
      </w:rPr>
      <w:t>23</w:t>
    </w:r>
    <w:r w:rsidRPr="002A2341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3D7" w:rsidRDefault="007E03D7" w:rsidP="00644AE5">
      <w:pPr>
        <w:spacing w:after="0" w:line="240" w:lineRule="auto"/>
      </w:pPr>
      <w:r>
        <w:separator/>
      </w:r>
    </w:p>
  </w:footnote>
  <w:footnote w:type="continuationSeparator" w:id="0">
    <w:p w:rsidR="007E03D7" w:rsidRDefault="007E03D7" w:rsidP="00644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3D7" w:rsidRDefault="007E03D7" w:rsidP="004A666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03D7" w:rsidRDefault="007E03D7" w:rsidP="0000692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3D7" w:rsidRPr="00006924" w:rsidRDefault="007E03D7" w:rsidP="004A666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06924">
      <w:rPr>
        <w:rStyle w:val="PageNumber"/>
        <w:rFonts w:ascii="Times New Roman" w:hAnsi="Times New Roman"/>
        <w:sz w:val="28"/>
        <w:szCs w:val="28"/>
      </w:rPr>
      <w:fldChar w:fldCharType="begin"/>
    </w:r>
    <w:r w:rsidRPr="0000692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0692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006924">
      <w:rPr>
        <w:rStyle w:val="PageNumber"/>
        <w:rFonts w:ascii="Times New Roman" w:hAnsi="Times New Roman"/>
        <w:sz w:val="28"/>
        <w:szCs w:val="28"/>
      </w:rPr>
      <w:fldChar w:fldCharType="end"/>
    </w:r>
  </w:p>
  <w:p w:rsidR="007E03D7" w:rsidRPr="00006924" w:rsidRDefault="007E03D7" w:rsidP="00006924">
    <w:pPr>
      <w:pStyle w:val="Header"/>
      <w:ind w:right="360"/>
      <w:rPr>
        <w:sz w:val="24"/>
        <w:szCs w:val="24"/>
      </w:rPr>
    </w:pPr>
    <w:r w:rsidRPr="00006924">
      <w:rPr>
        <w:rFonts w:ascii="Times New Roman" w:hAnsi="Times New Roman"/>
        <w:sz w:val="24"/>
        <w:szCs w:val="24"/>
      </w:rPr>
      <w:t>Научный журнал КубГАУ, №12</w:t>
    </w:r>
    <w:r w:rsidRPr="00006924">
      <w:rPr>
        <w:rFonts w:ascii="Times New Roman" w:hAnsi="Times New Roman"/>
        <w:sz w:val="24"/>
        <w:szCs w:val="24"/>
        <w:lang w:val="en-US"/>
      </w:rPr>
      <w:t>8</w:t>
    </w:r>
    <w:r w:rsidRPr="00006924">
      <w:rPr>
        <w:rFonts w:ascii="Times New Roman" w:hAnsi="Times New Roman"/>
        <w:sz w:val="24"/>
        <w:szCs w:val="24"/>
      </w:rPr>
      <w:t>(0</w:t>
    </w:r>
    <w:r w:rsidRPr="00006924">
      <w:rPr>
        <w:rFonts w:ascii="Times New Roman" w:hAnsi="Times New Roman"/>
        <w:sz w:val="24"/>
        <w:szCs w:val="24"/>
        <w:lang w:val="en-US"/>
      </w:rPr>
      <w:t>4</w:t>
    </w:r>
    <w:r w:rsidRPr="00006924">
      <w:rPr>
        <w:rFonts w:ascii="Times New Roman" w:hAnsi="Times New Roman"/>
        <w:sz w:val="24"/>
        <w:szCs w:val="24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3802"/>
    <w:multiLevelType w:val="hybridMultilevel"/>
    <w:tmpl w:val="68F6FFC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3357D36"/>
    <w:multiLevelType w:val="hybridMultilevel"/>
    <w:tmpl w:val="9CAE4876"/>
    <w:lvl w:ilvl="0" w:tplc="0419000F">
      <w:start w:val="1"/>
      <w:numFmt w:val="decimal"/>
      <w:lvlText w:val="%1."/>
      <w:lvlJc w:val="left"/>
      <w:pPr>
        <w:ind w:left="943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5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37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  <w:rPr>
        <w:rFonts w:cs="Times New Roman"/>
      </w:rPr>
    </w:lvl>
  </w:abstractNum>
  <w:abstractNum w:abstractNumId="2">
    <w:nsid w:val="300B5D76"/>
    <w:multiLevelType w:val="hybridMultilevel"/>
    <w:tmpl w:val="68F6FFC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9C86946"/>
    <w:multiLevelType w:val="hybridMultilevel"/>
    <w:tmpl w:val="ED50C2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547FD9"/>
    <w:multiLevelType w:val="hybridMultilevel"/>
    <w:tmpl w:val="68F6FFC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B332060"/>
    <w:multiLevelType w:val="hybridMultilevel"/>
    <w:tmpl w:val="892CEA30"/>
    <w:lvl w:ilvl="0" w:tplc="C7B899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948F8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A465B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8C4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7E48F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EC9E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F607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DA89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C520A2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AA1"/>
    <w:rsid w:val="00006924"/>
    <w:rsid w:val="00014E15"/>
    <w:rsid w:val="00023E1A"/>
    <w:rsid w:val="000358A6"/>
    <w:rsid w:val="00035FD7"/>
    <w:rsid w:val="000556F9"/>
    <w:rsid w:val="000636B5"/>
    <w:rsid w:val="000E08CA"/>
    <w:rsid w:val="000F280D"/>
    <w:rsid w:val="00114D1F"/>
    <w:rsid w:val="00124594"/>
    <w:rsid w:val="0014755D"/>
    <w:rsid w:val="00147D3A"/>
    <w:rsid w:val="00233638"/>
    <w:rsid w:val="00286CFF"/>
    <w:rsid w:val="00286DCC"/>
    <w:rsid w:val="002A2341"/>
    <w:rsid w:val="002A27BA"/>
    <w:rsid w:val="002F0C69"/>
    <w:rsid w:val="0031698B"/>
    <w:rsid w:val="00324ECB"/>
    <w:rsid w:val="003625BB"/>
    <w:rsid w:val="00362AA1"/>
    <w:rsid w:val="0037624F"/>
    <w:rsid w:val="003A3202"/>
    <w:rsid w:val="003F30A7"/>
    <w:rsid w:val="00414C0C"/>
    <w:rsid w:val="00425F8E"/>
    <w:rsid w:val="00477DB9"/>
    <w:rsid w:val="004A6667"/>
    <w:rsid w:val="004E004F"/>
    <w:rsid w:val="004E7288"/>
    <w:rsid w:val="00501202"/>
    <w:rsid w:val="00507FA1"/>
    <w:rsid w:val="005243D4"/>
    <w:rsid w:val="005367E2"/>
    <w:rsid w:val="00555054"/>
    <w:rsid w:val="00561E99"/>
    <w:rsid w:val="005E4E11"/>
    <w:rsid w:val="005E7052"/>
    <w:rsid w:val="005F3249"/>
    <w:rsid w:val="006147A1"/>
    <w:rsid w:val="00621805"/>
    <w:rsid w:val="006260E5"/>
    <w:rsid w:val="00634A85"/>
    <w:rsid w:val="00637221"/>
    <w:rsid w:val="00644AE5"/>
    <w:rsid w:val="00655A82"/>
    <w:rsid w:val="0066364E"/>
    <w:rsid w:val="00670181"/>
    <w:rsid w:val="006B4B70"/>
    <w:rsid w:val="006E3A1C"/>
    <w:rsid w:val="0072476D"/>
    <w:rsid w:val="007B3C6F"/>
    <w:rsid w:val="007E03D7"/>
    <w:rsid w:val="007F188E"/>
    <w:rsid w:val="00851294"/>
    <w:rsid w:val="008632B1"/>
    <w:rsid w:val="00877AB8"/>
    <w:rsid w:val="00883878"/>
    <w:rsid w:val="008A7B35"/>
    <w:rsid w:val="008B152F"/>
    <w:rsid w:val="008C025A"/>
    <w:rsid w:val="008D617D"/>
    <w:rsid w:val="008F410D"/>
    <w:rsid w:val="008F70CD"/>
    <w:rsid w:val="009865C8"/>
    <w:rsid w:val="009A32A8"/>
    <w:rsid w:val="00A1389E"/>
    <w:rsid w:val="00AB3B3F"/>
    <w:rsid w:val="00AD00DF"/>
    <w:rsid w:val="00B046A7"/>
    <w:rsid w:val="00B07940"/>
    <w:rsid w:val="00B32950"/>
    <w:rsid w:val="00B71360"/>
    <w:rsid w:val="00B92808"/>
    <w:rsid w:val="00BB2BF5"/>
    <w:rsid w:val="00BB5ABD"/>
    <w:rsid w:val="00C17761"/>
    <w:rsid w:val="00C36526"/>
    <w:rsid w:val="00C638CB"/>
    <w:rsid w:val="00C71307"/>
    <w:rsid w:val="00CF527C"/>
    <w:rsid w:val="00D160E2"/>
    <w:rsid w:val="00D36B3C"/>
    <w:rsid w:val="00D466C3"/>
    <w:rsid w:val="00D754DE"/>
    <w:rsid w:val="00D8756F"/>
    <w:rsid w:val="00DB6735"/>
    <w:rsid w:val="00DC5885"/>
    <w:rsid w:val="00DD0F15"/>
    <w:rsid w:val="00DE347C"/>
    <w:rsid w:val="00E24AC4"/>
    <w:rsid w:val="00E3274D"/>
    <w:rsid w:val="00E76798"/>
    <w:rsid w:val="00E91604"/>
    <w:rsid w:val="00EC197A"/>
    <w:rsid w:val="00EF4867"/>
    <w:rsid w:val="00F02E09"/>
    <w:rsid w:val="00F0455E"/>
    <w:rsid w:val="00F06E1E"/>
    <w:rsid w:val="00F20098"/>
    <w:rsid w:val="00F35272"/>
    <w:rsid w:val="00F53F9C"/>
    <w:rsid w:val="00F86101"/>
    <w:rsid w:val="00F91E09"/>
    <w:rsid w:val="00FC1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A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62A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62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62AA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62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62AA1"/>
    <w:rPr>
      <w:rFonts w:cs="Times New Roman"/>
    </w:rPr>
  </w:style>
  <w:style w:type="table" w:styleId="TableGrid">
    <w:name w:val="Table Grid"/>
    <w:basedOn w:val="TableNormal"/>
    <w:uiPriority w:val="99"/>
    <w:rsid w:val="00362AA1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362AA1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62AA1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362AA1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362AA1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362AA1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362AA1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62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2A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C197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C36526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3274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3274D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E3274D"/>
    <w:rPr>
      <w:rFonts w:cs="Times New Roman"/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rsid w:val="00324E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324ECB"/>
    <w:rPr>
      <w:rFonts w:ascii="Courier New" w:hAnsi="Courier New" w:cs="Courier New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00692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29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386</TotalTime>
  <Pages>12</Pages>
  <Words>3117</Words>
  <Characters>17772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Екатерина Фёдоровна</dc:creator>
  <cp:keywords/>
  <dc:description/>
  <cp:lastModifiedBy>Sergey</cp:lastModifiedBy>
  <cp:revision>17</cp:revision>
  <cp:lastPrinted>2017-03-22T12:47:00Z</cp:lastPrinted>
  <dcterms:created xsi:type="dcterms:W3CDTF">2017-03-22T12:33:00Z</dcterms:created>
  <dcterms:modified xsi:type="dcterms:W3CDTF">2017-04-20T17:24:00Z</dcterms:modified>
</cp:coreProperties>
</file>