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0A0"/>
      </w:tblPr>
      <w:tblGrid>
        <w:gridCol w:w="4643"/>
        <w:gridCol w:w="4643"/>
      </w:tblGrid>
      <w:tr w:rsidR="005D7A74" w:rsidRPr="00663B3A" w:rsidTr="006C0CCB">
        <w:tc>
          <w:tcPr>
            <w:tcW w:w="4643" w:type="dxa"/>
          </w:tcPr>
          <w:p w:rsidR="005D7A74" w:rsidRDefault="005D7A74" w:rsidP="006C0CCB">
            <w:pPr>
              <w:spacing w:after="0" w:line="240" w:lineRule="auto"/>
              <w:outlineLvl w:val="2"/>
              <w:rPr>
                <w:rFonts w:ascii="Times New Roman" w:hAnsi="Times New Roman"/>
                <w:bCs/>
                <w:sz w:val="20"/>
                <w:szCs w:val="20"/>
                <w:lang w:val="en-US" w:eastAsia="ru-RU"/>
              </w:rPr>
            </w:pPr>
            <w:bookmarkStart w:id="0" w:name="OLE_LINK17"/>
            <w:r w:rsidRPr="00663B3A">
              <w:rPr>
                <w:rFonts w:ascii="Times New Roman" w:hAnsi="Times New Roman"/>
                <w:bCs/>
                <w:sz w:val="20"/>
                <w:szCs w:val="20"/>
                <w:lang w:eastAsia="ru-RU"/>
              </w:rPr>
              <w:t>УДК 338.001.36</w:t>
            </w:r>
            <w:bookmarkEnd w:id="0"/>
          </w:p>
          <w:p w:rsidR="005D7A74" w:rsidRPr="005A503B" w:rsidRDefault="005D7A74" w:rsidP="006C0CCB">
            <w:pPr>
              <w:spacing w:after="0" w:line="240" w:lineRule="auto"/>
              <w:outlineLvl w:val="2"/>
              <w:rPr>
                <w:rFonts w:ascii="Times New Roman" w:hAnsi="Times New Roman"/>
                <w:bCs/>
                <w:sz w:val="20"/>
                <w:szCs w:val="20"/>
                <w:lang w:val="en-US" w:eastAsia="ru-RU"/>
              </w:rPr>
            </w:pPr>
          </w:p>
        </w:tc>
        <w:tc>
          <w:tcPr>
            <w:tcW w:w="4643" w:type="dxa"/>
          </w:tcPr>
          <w:p w:rsidR="005D7A74" w:rsidRPr="00663B3A" w:rsidRDefault="005D7A74" w:rsidP="006C0CCB">
            <w:pPr>
              <w:spacing w:after="0" w:line="240" w:lineRule="auto"/>
              <w:outlineLvl w:val="2"/>
              <w:rPr>
                <w:rFonts w:ascii="Times New Roman" w:hAnsi="Times New Roman"/>
                <w:bCs/>
                <w:sz w:val="20"/>
                <w:szCs w:val="20"/>
                <w:lang w:val="en-US" w:eastAsia="ru-RU"/>
              </w:rPr>
            </w:pPr>
            <w:r w:rsidRPr="00663B3A">
              <w:rPr>
                <w:rFonts w:ascii="Times New Roman" w:hAnsi="Times New Roman"/>
                <w:bCs/>
                <w:sz w:val="20"/>
                <w:szCs w:val="20"/>
                <w:lang w:val="en-US" w:eastAsia="ru-RU"/>
              </w:rPr>
              <w:t xml:space="preserve">UDC </w:t>
            </w:r>
            <w:r w:rsidRPr="00663B3A">
              <w:rPr>
                <w:rFonts w:ascii="Times New Roman" w:hAnsi="Times New Roman"/>
                <w:bCs/>
                <w:sz w:val="20"/>
                <w:szCs w:val="20"/>
                <w:lang w:eastAsia="ru-RU"/>
              </w:rPr>
              <w:t>338.001.36</w:t>
            </w:r>
          </w:p>
        </w:tc>
      </w:tr>
      <w:tr w:rsidR="005D7A74" w:rsidRPr="00663B3A" w:rsidTr="006C0CCB">
        <w:tc>
          <w:tcPr>
            <w:tcW w:w="4643" w:type="dxa"/>
          </w:tcPr>
          <w:p w:rsidR="005D7A74" w:rsidRPr="00663B3A" w:rsidRDefault="005D7A74" w:rsidP="006C0CCB">
            <w:pPr>
              <w:spacing w:after="0" w:line="240" w:lineRule="auto"/>
              <w:outlineLvl w:val="2"/>
              <w:rPr>
                <w:rFonts w:ascii="Times New Roman" w:hAnsi="Times New Roman"/>
                <w:bCs/>
                <w:sz w:val="20"/>
                <w:szCs w:val="20"/>
                <w:lang w:eastAsia="ru-RU"/>
              </w:rPr>
            </w:pPr>
            <w:r w:rsidRPr="00663B3A">
              <w:rPr>
                <w:rFonts w:ascii="Times New Roman" w:hAnsi="Times New Roman"/>
                <w:bCs/>
                <w:sz w:val="20"/>
                <w:szCs w:val="20"/>
                <w:lang w:eastAsia="ru-RU"/>
              </w:rPr>
              <w:t>08.00.00 Экономические науки</w:t>
            </w:r>
          </w:p>
          <w:p w:rsidR="005D7A74" w:rsidRPr="00663B3A" w:rsidRDefault="005D7A74" w:rsidP="006C0CCB">
            <w:pPr>
              <w:spacing w:after="0" w:line="240" w:lineRule="auto"/>
              <w:outlineLvl w:val="2"/>
              <w:rPr>
                <w:rFonts w:ascii="Times New Roman" w:hAnsi="Times New Roman"/>
                <w:bCs/>
                <w:sz w:val="20"/>
                <w:szCs w:val="20"/>
                <w:lang w:eastAsia="ru-RU"/>
              </w:rPr>
            </w:pPr>
          </w:p>
        </w:tc>
        <w:tc>
          <w:tcPr>
            <w:tcW w:w="4643" w:type="dxa"/>
          </w:tcPr>
          <w:p w:rsidR="005D7A74" w:rsidRPr="00663B3A" w:rsidRDefault="005D7A74" w:rsidP="006C0CCB">
            <w:pPr>
              <w:spacing w:after="0" w:line="240" w:lineRule="auto"/>
              <w:outlineLvl w:val="2"/>
              <w:rPr>
                <w:rFonts w:ascii="Times New Roman" w:hAnsi="Times New Roman"/>
                <w:bCs/>
                <w:sz w:val="20"/>
                <w:szCs w:val="20"/>
                <w:lang w:val="en-US" w:eastAsia="ru-RU"/>
              </w:rPr>
            </w:pPr>
            <w:r w:rsidRPr="00663B3A">
              <w:rPr>
                <w:rFonts w:ascii="Times New Roman" w:hAnsi="Times New Roman"/>
                <w:bCs/>
                <w:sz w:val="20"/>
                <w:szCs w:val="20"/>
                <w:lang w:val="en-US" w:eastAsia="ru-RU"/>
              </w:rPr>
              <w:t>Economics</w:t>
            </w:r>
          </w:p>
        </w:tc>
      </w:tr>
      <w:tr w:rsidR="005D7A74" w:rsidRPr="008A2100" w:rsidTr="006C0CCB">
        <w:tc>
          <w:tcPr>
            <w:tcW w:w="4643" w:type="dxa"/>
          </w:tcPr>
          <w:p w:rsidR="005D7A74" w:rsidRPr="00663B3A" w:rsidRDefault="005D7A74" w:rsidP="006C0CCB">
            <w:pPr>
              <w:spacing w:after="0" w:line="240" w:lineRule="auto"/>
              <w:outlineLvl w:val="2"/>
              <w:rPr>
                <w:rFonts w:ascii="Times New Roman" w:hAnsi="Times New Roman"/>
                <w:b/>
                <w:bCs/>
                <w:sz w:val="20"/>
                <w:szCs w:val="20"/>
                <w:lang w:eastAsia="ru-RU"/>
              </w:rPr>
            </w:pPr>
            <w:r w:rsidRPr="00663B3A">
              <w:rPr>
                <w:rFonts w:ascii="Times New Roman" w:hAnsi="Times New Roman"/>
                <w:b/>
                <w:bCs/>
                <w:sz w:val="20"/>
                <w:szCs w:val="20"/>
                <w:lang w:eastAsia="ru-RU"/>
              </w:rPr>
              <w:t>ИСПОЛЬЗОВАНИЕ РЕЙТИНГОВ ДЛЯ ОЦЕНКИ КР</w:t>
            </w:r>
            <w:bookmarkStart w:id="1" w:name="_GoBack"/>
            <w:bookmarkEnd w:id="1"/>
            <w:r w:rsidRPr="00663B3A">
              <w:rPr>
                <w:rFonts w:ascii="Times New Roman" w:hAnsi="Times New Roman"/>
                <w:b/>
                <w:bCs/>
                <w:sz w:val="20"/>
                <w:szCs w:val="20"/>
                <w:lang w:eastAsia="ru-RU"/>
              </w:rPr>
              <w:t>ЕДИТОСПОСОБНОСТИ БАНКОВ</w:t>
            </w:r>
          </w:p>
          <w:p w:rsidR="005D7A74" w:rsidRPr="00663B3A" w:rsidRDefault="005D7A74" w:rsidP="006C0CCB">
            <w:pPr>
              <w:spacing w:after="0" w:line="240" w:lineRule="auto"/>
              <w:outlineLvl w:val="2"/>
              <w:rPr>
                <w:rFonts w:ascii="Times New Roman" w:hAnsi="Times New Roman"/>
                <w:b/>
                <w:bCs/>
                <w:sz w:val="20"/>
                <w:szCs w:val="20"/>
                <w:lang w:eastAsia="ru-RU"/>
              </w:rPr>
            </w:pPr>
          </w:p>
        </w:tc>
        <w:tc>
          <w:tcPr>
            <w:tcW w:w="4643" w:type="dxa"/>
          </w:tcPr>
          <w:p w:rsidR="005D7A74" w:rsidRPr="00663B3A" w:rsidRDefault="005D7A74" w:rsidP="006C0CCB">
            <w:pPr>
              <w:spacing w:after="0" w:line="240" w:lineRule="auto"/>
              <w:outlineLvl w:val="2"/>
              <w:rPr>
                <w:rFonts w:ascii="Times New Roman" w:hAnsi="Times New Roman"/>
                <w:b/>
                <w:bCs/>
                <w:sz w:val="20"/>
                <w:szCs w:val="20"/>
                <w:lang w:val="en-US" w:eastAsia="ru-RU"/>
              </w:rPr>
            </w:pPr>
            <w:r>
              <w:rPr>
                <w:rFonts w:ascii="Times New Roman" w:hAnsi="Times New Roman"/>
                <w:b/>
                <w:bCs/>
                <w:sz w:val="20"/>
                <w:szCs w:val="20"/>
                <w:lang w:val="en-US" w:eastAsia="ru-RU"/>
              </w:rPr>
              <w:t xml:space="preserve">USING </w:t>
            </w:r>
            <w:r w:rsidRPr="00663B3A">
              <w:rPr>
                <w:rFonts w:ascii="Times New Roman" w:hAnsi="Times New Roman"/>
                <w:b/>
                <w:bCs/>
                <w:sz w:val="20"/>
                <w:szCs w:val="20"/>
                <w:lang w:val="en-US" w:eastAsia="ru-RU"/>
              </w:rPr>
              <w:t>RATINGS TO ASSESS THE CREDITWORTHINESS OF BANKS</w:t>
            </w:r>
          </w:p>
        </w:tc>
      </w:tr>
      <w:tr w:rsidR="005D7A74" w:rsidRPr="005A503B" w:rsidTr="006C0CCB">
        <w:tc>
          <w:tcPr>
            <w:tcW w:w="4643" w:type="dxa"/>
          </w:tcPr>
          <w:p w:rsidR="005D7A74" w:rsidRPr="00663B3A" w:rsidRDefault="005D7A74" w:rsidP="006C0CCB">
            <w:pPr>
              <w:spacing w:after="0" w:line="240" w:lineRule="auto"/>
              <w:outlineLvl w:val="2"/>
              <w:rPr>
                <w:rFonts w:ascii="Times New Roman" w:hAnsi="Times New Roman"/>
                <w:bCs/>
                <w:sz w:val="20"/>
                <w:szCs w:val="20"/>
                <w:lang w:eastAsia="ru-RU"/>
              </w:rPr>
            </w:pPr>
            <w:r w:rsidRPr="00663B3A">
              <w:rPr>
                <w:rFonts w:ascii="Times New Roman" w:hAnsi="Times New Roman"/>
                <w:bCs/>
                <w:sz w:val="20"/>
                <w:szCs w:val="20"/>
                <w:lang w:eastAsia="ru-RU"/>
              </w:rPr>
              <w:t>Савинова Евгения Анатольевна</w:t>
            </w:r>
          </w:p>
          <w:p w:rsidR="005D7A74" w:rsidRPr="00663B3A" w:rsidRDefault="005D7A74" w:rsidP="006C0CCB">
            <w:pPr>
              <w:spacing w:after="0" w:line="240" w:lineRule="auto"/>
              <w:outlineLvl w:val="2"/>
              <w:rPr>
                <w:rFonts w:ascii="Times New Roman" w:hAnsi="Times New Roman"/>
                <w:bCs/>
                <w:sz w:val="20"/>
                <w:szCs w:val="20"/>
                <w:lang w:eastAsia="ru-RU"/>
              </w:rPr>
            </w:pPr>
            <w:r w:rsidRPr="00663B3A">
              <w:rPr>
                <w:rFonts w:ascii="Times New Roman" w:hAnsi="Times New Roman"/>
                <w:bCs/>
                <w:sz w:val="20"/>
                <w:szCs w:val="20"/>
                <w:lang w:eastAsia="ru-RU"/>
              </w:rPr>
              <w:t>к.э.н., доцент</w:t>
            </w:r>
            <w:r w:rsidRPr="00BD290B">
              <w:rPr>
                <w:rFonts w:ascii="Times New Roman" w:hAnsi="Times New Roman"/>
                <w:bCs/>
                <w:sz w:val="20"/>
                <w:szCs w:val="20"/>
                <w:lang w:eastAsia="ru-RU"/>
              </w:rPr>
              <w:t xml:space="preserve">, </w:t>
            </w:r>
            <w:r w:rsidRPr="00663B3A">
              <w:rPr>
                <w:rFonts w:ascii="Times New Roman" w:hAnsi="Times New Roman"/>
                <w:bCs/>
                <w:sz w:val="20"/>
                <w:szCs w:val="20"/>
                <w:lang w:eastAsia="ru-RU"/>
              </w:rPr>
              <w:t>РИНЦ: SPIN-код=245935</w:t>
            </w:r>
          </w:p>
          <w:p w:rsidR="005D7A74" w:rsidRPr="00663B3A" w:rsidRDefault="005D7A74" w:rsidP="006C0CCB">
            <w:pPr>
              <w:spacing w:after="0" w:line="240" w:lineRule="auto"/>
              <w:outlineLvl w:val="2"/>
              <w:rPr>
                <w:rFonts w:ascii="Times New Roman" w:hAnsi="Times New Roman"/>
                <w:bCs/>
                <w:sz w:val="20"/>
                <w:szCs w:val="20"/>
                <w:lang w:eastAsia="ru-RU"/>
              </w:rPr>
            </w:pPr>
            <w:hyperlink r:id="rId7" w:history="1">
              <w:r w:rsidRPr="00663B3A">
                <w:rPr>
                  <w:rStyle w:val="Hyperlink"/>
                  <w:rFonts w:ascii="Times New Roman" w:hAnsi="Times New Roman"/>
                  <w:bCs/>
                  <w:sz w:val="20"/>
                  <w:szCs w:val="20"/>
                  <w:lang w:val="en-US" w:eastAsia="ru-RU"/>
                </w:rPr>
                <w:t>joan.savinova@gmail.com</w:t>
              </w:r>
            </w:hyperlink>
          </w:p>
          <w:p w:rsidR="005D7A74" w:rsidRPr="00663B3A" w:rsidRDefault="005D7A74" w:rsidP="006C0CCB">
            <w:pPr>
              <w:spacing w:after="0" w:line="240" w:lineRule="auto"/>
              <w:outlineLvl w:val="2"/>
              <w:rPr>
                <w:rFonts w:ascii="Times New Roman" w:hAnsi="Times New Roman"/>
                <w:bCs/>
                <w:sz w:val="20"/>
                <w:szCs w:val="20"/>
                <w:lang w:eastAsia="ru-RU"/>
              </w:rPr>
            </w:pPr>
          </w:p>
        </w:tc>
        <w:tc>
          <w:tcPr>
            <w:tcW w:w="4643" w:type="dxa"/>
          </w:tcPr>
          <w:p w:rsidR="005D7A74" w:rsidRPr="00663B3A" w:rsidRDefault="005D7A74" w:rsidP="006C0CCB">
            <w:pPr>
              <w:spacing w:after="0" w:line="240" w:lineRule="auto"/>
              <w:outlineLvl w:val="2"/>
              <w:rPr>
                <w:rFonts w:ascii="Times New Roman" w:hAnsi="Times New Roman"/>
                <w:bCs/>
                <w:sz w:val="20"/>
                <w:szCs w:val="20"/>
                <w:lang w:val="en-US" w:eastAsia="ru-RU"/>
              </w:rPr>
            </w:pPr>
            <w:r w:rsidRPr="00663B3A">
              <w:rPr>
                <w:rFonts w:ascii="Times New Roman" w:hAnsi="Times New Roman"/>
                <w:bCs/>
                <w:sz w:val="20"/>
                <w:szCs w:val="20"/>
                <w:lang w:val="en-US" w:eastAsia="ru-RU"/>
              </w:rPr>
              <w:t>Savinova Evgeniya Anatolyevna</w:t>
            </w:r>
          </w:p>
          <w:p w:rsidR="005D7A74" w:rsidRPr="00663B3A" w:rsidRDefault="005D7A74" w:rsidP="006C0CCB">
            <w:pPr>
              <w:spacing w:after="0" w:line="240" w:lineRule="auto"/>
              <w:outlineLvl w:val="2"/>
              <w:rPr>
                <w:rFonts w:ascii="Times New Roman" w:hAnsi="Times New Roman"/>
                <w:bCs/>
                <w:sz w:val="20"/>
                <w:szCs w:val="20"/>
                <w:lang w:val="en-US" w:eastAsia="ru-RU"/>
              </w:rPr>
            </w:pPr>
            <w:r>
              <w:rPr>
                <w:rFonts w:ascii="Times New Roman" w:hAnsi="Times New Roman"/>
                <w:bCs/>
                <w:sz w:val="20"/>
                <w:szCs w:val="20"/>
                <w:lang w:val="en-US" w:eastAsia="ru-RU"/>
              </w:rPr>
              <w:t>Cand.Econ.Sci.</w:t>
            </w:r>
            <w:r w:rsidRPr="00663B3A">
              <w:rPr>
                <w:rFonts w:ascii="Times New Roman" w:hAnsi="Times New Roman"/>
                <w:bCs/>
                <w:sz w:val="20"/>
                <w:szCs w:val="20"/>
                <w:lang w:val="en-US" w:eastAsia="ru-RU"/>
              </w:rPr>
              <w:t>, associate professor</w:t>
            </w:r>
          </w:p>
          <w:p w:rsidR="005D7A74" w:rsidRPr="00663B3A" w:rsidRDefault="005D7A74" w:rsidP="006C0CCB">
            <w:pPr>
              <w:spacing w:after="0" w:line="240" w:lineRule="auto"/>
              <w:outlineLvl w:val="2"/>
              <w:rPr>
                <w:rFonts w:ascii="Times New Roman" w:hAnsi="Times New Roman"/>
                <w:bCs/>
                <w:sz w:val="20"/>
                <w:szCs w:val="20"/>
                <w:lang w:val="en-US" w:eastAsia="ru-RU"/>
              </w:rPr>
            </w:pPr>
            <w:r w:rsidRPr="00663B3A">
              <w:rPr>
                <w:rFonts w:ascii="Times New Roman" w:hAnsi="Times New Roman"/>
                <w:bCs/>
                <w:sz w:val="20"/>
                <w:szCs w:val="20"/>
                <w:lang w:val="en-US" w:eastAsia="ru-RU"/>
              </w:rPr>
              <w:t>joan.savinova@gmail.com</w:t>
            </w:r>
          </w:p>
        </w:tc>
      </w:tr>
      <w:tr w:rsidR="005D7A74" w:rsidRPr="008A2100" w:rsidTr="006C0CCB">
        <w:tc>
          <w:tcPr>
            <w:tcW w:w="4643" w:type="dxa"/>
          </w:tcPr>
          <w:p w:rsidR="005D7A74" w:rsidRPr="008A2100" w:rsidRDefault="005D7A74" w:rsidP="006C0CCB">
            <w:pPr>
              <w:spacing w:after="0" w:line="240" w:lineRule="auto"/>
              <w:outlineLvl w:val="2"/>
              <w:rPr>
                <w:rFonts w:ascii="Times New Roman" w:hAnsi="Times New Roman"/>
                <w:bCs/>
                <w:sz w:val="20"/>
                <w:szCs w:val="20"/>
                <w:lang w:eastAsia="ru-RU"/>
              </w:rPr>
            </w:pPr>
            <w:r w:rsidRPr="00663B3A">
              <w:rPr>
                <w:rFonts w:ascii="Times New Roman" w:hAnsi="Times New Roman"/>
                <w:bCs/>
                <w:sz w:val="20"/>
                <w:szCs w:val="20"/>
                <w:lang w:eastAsia="ru-RU"/>
              </w:rPr>
              <w:t>Ковалерова</w:t>
            </w:r>
            <w:r w:rsidRPr="008A2100">
              <w:rPr>
                <w:rFonts w:ascii="Times New Roman" w:hAnsi="Times New Roman"/>
                <w:bCs/>
                <w:sz w:val="20"/>
                <w:szCs w:val="20"/>
                <w:lang w:eastAsia="ru-RU"/>
              </w:rPr>
              <w:t xml:space="preserve"> </w:t>
            </w:r>
            <w:r w:rsidRPr="00663B3A">
              <w:rPr>
                <w:rFonts w:ascii="Times New Roman" w:hAnsi="Times New Roman"/>
                <w:bCs/>
                <w:sz w:val="20"/>
                <w:szCs w:val="20"/>
                <w:lang w:eastAsia="ru-RU"/>
              </w:rPr>
              <w:t>Людмила</w:t>
            </w:r>
            <w:r w:rsidRPr="008A2100">
              <w:rPr>
                <w:rFonts w:ascii="Times New Roman" w:hAnsi="Times New Roman"/>
                <w:bCs/>
                <w:sz w:val="20"/>
                <w:szCs w:val="20"/>
                <w:lang w:eastAsia="ru-RU"/>
              </w:rPr>
              <w:t xml:space="preserve"> </w:t>
            </w:r>
            <w:r w:rsidRPr="00663B3A">
              <w:rPr>
                <w:rFonts w:ascii="Times New Roman" w:hAnsi="Times New Roman"/>
                <w:bCs/>
                <w:sz w:val="20"/>
                <w:szCs w:val="20"/>
                <w:lang w:eastAsia="ru-RU"/>
              </w:rPr>
              <w:t>Анатольевна</w:t>
            </w:r>
          </w:p>
          <w:p w:rsidR="005D7A74" w:rsidRPr="008A2100" w:rsidRDefault="005D7A74" w:rsidP="006C0CCB">
            <w:pPr>
              <w:spacing w:after="0" w:line="240" w:lineRule="auto"/>
              <w:outlineLvl w:val="2"/>
              <w:rPr>
                <w:rFonts w:ascii="Times New Roman" w:hAnsi="Times New Roman"/>
                <w:bCs/>
                <w:sz w:val="20"/>
                <w:szCs w:val="20"/>
                <w:lang w:eastAsia="ru-RU"/>
              </w:rPr>
            </w:pPr>
            <w:r w:rsidRPr="00663B3A">
              <w:rPr>
                <w:rFonts w:ascii="Times New Roman" w:hAnsi="Times New Roman"/>
                <w:bCs/>
                <w:sz w:val="20"/>
                <w:szCs w:val="20"/>
                <w:lang w:eastAsia="ru-RU"/>
              </w:rPr>
              <w:t>к</w:t>
            </w:r>
            <w:r w:rsidRPr="008A2100">
              <w:rPr>
                <w:rFonts w:ascii="Times New Roman" w:hAnsi="Times New Roman"/>
                <w:bCs/>
                <w:sz w:val="20"/>
                <w:szCs w:val="20"/>
                <w:lang w:eastAsia="ru-RU"/>
              </w:rPr>
              <w:t>.</w:t>
            </w:r>
            <w:r w:rsidRPr="00663B3A">
              <w:rPr>
                <w:rFonts w:ascii="Times New Roman" w:hAnsi="Times New Roman"/>
                <w:bCs/>
                <w:sz w:val="20"/>
                <w:szCs w:val="20"/>
                <w:lang w:eastAsia="ru-RU"/>
              </w:rPr>
              <w:t>э</w:t>
            </w:r>
            <w:r w:rsidRPr="008A2100">
              <w:rPr>
                <w:rFonts w:ascii="Times New Roman" w:hAnsi="Times New Roman"/>
                <w:bCs/>
                <w:sz w:val="20"/>
                <w:szCs w:val="20"/>
                <w:lang w:eastAsia="ru-RU"/>
              </w:rPr>
              <w:t>.</w:t>
            </w:r>
            <w:r w:rsidRPr="00663B3A">
              <w:rPr>
                <w:rFonts w:ascii="Times New Roman" w:hAnsi="Times New Roman"/>
                <w:bCs/>
                <w:sz w:val="20"/>
                <w:szCs w:val="20"/>
                <w:lang w:eastAsia="ru-RU"/>
              </w:rPr>
              <w:t>н</w:t>
            </w:r>
            <w:r w:rsidRPr="008A2100">
              <w:rPr>
                <w:rFonts w:ascii="Times New Roman" w:hAnsi="Times New Roman"/>
                <w:bCs/>
                <w:sz w:val="20"/>
                <w:szCs w:val="20"/>
                <w:lang w:eastAsia="ru-RU"/>
              </w:rPr>
              <w:t xml:space="preserve">., </w:t>
            </w:r>
            <w:r w:rsidRPr="00663B3A">
              <w:rPr>
                <w:rFonts w:ascii="Times New Roman" w:hAnsi="Times New Roman"/>
                <w:bCs/>
                <w:sz w:val="20"/>
                <w:szCs w:val="20"/>
                <w:lang w:eastAsia="ru-RU"/>
              </w:rPr>
              <w:t>доцент</w:t>
            </w:r>
          </w:p>
          <w:p w:rsidR="005D7A74" w:rsidRPr="008A2100" w:rsidRDefault="005D7A74" w:rsidP="006C0CCB">
            <w:pPr>
              <w:spacing w:after="0" w:line="240" w:lineRule="auto"/>
              <w:outlineLvl w:val="2"/>
              <w:rPr>
                <w:rFonts w:ascii="Times New Roman" w:hAnsi="Times New Roman"/>
                <w:bCs/>
                <w:sz w:val="20"/>
                <w:szCs w:val="20"/>
                <w:lang w:eastAsia="ru-RU"/>
              </w:rPr>
            </w:pPr>
            <w:r w:rsidRPr="00663B3A">
              <w:rPr>
                <w:rFonts w:ascii="Times New Roman" w:hAnsi="Times New Roman"/>
                <w:bCs/>
                <w:sz w:val="20"/>
                <w:szCs w:val="20"/>
                <w:lang w:eastAsia="ru-RU"/>
              </w:rPr>
              <w:t>РИНЦ</w:t>
            </w:r>
            <w:r w:rsidRPr="008A2100">
              <w:rPr>
                <w:rFonts w:ascii="Times New Roman" w:hAnsi="Times New Roman"/>
                <w:bCs/>
                <w:sz w:val="20"/>
                <w:szCs w:val="20"/>
                <w:lang w:eastAsia="ru-RU"/>
              </w:rPr>
              <w:t xml:space="preserve">: </w:t>
            </w:r>
            <w:r w:rsidRPr="005A503B">
              <w:rPr>
                <w:rFonts w:ascii="Times New Roman" w:hAnsi="Times New Roman"/>
                <w:bCs/>
                <w:sz w:val="20"/>
                <w:szCs w:val="20"/>
                <w:lang w:val="en-US" w:eastAsia="ru-RU"/>
              </w:rPr>
              <w:t>SPIN</w:t>
            </w:r>
            <w:r w:rsidRPr="008A2100">
              <w:rPr>
                <w:rFonts w:ascii="Times New Roman" w:hAnsi="Times New Roman"/>
                <w:bCs/>
                <w:sz w:val="20"/>
                <w:szCs w:val="20"/>
                <w:lang w:eastAsia="ru-RU"/>
              </w:rPr>
              <w:t>-</w:t>
            </w:r>
            <w:r w:rsidRPr="00663B3A">
              <w:rPr>
                <w:rFonts w:ascii="Times New Roman" w:hAnsi="Times New Roman"/>
                <w:bCs/>
                <w:sz w:val="20"/>
                <w:szCs w:val="20"/>
                <w:lang w:eastAsia="ru-RU"/>
              </w:rPr>
              <w:t>код</w:t>
            </w:r>
            <w:r w:rsidRPr="008A2100">
              <w:rPr>
                <w:rFonts w:ascii="Times New Roman" w:hAnsi="Times New Roman"/>
                <w:bCs/>
                <w:sz w:val="20"/>
                <w:szCs w:val="20"/>
                <w:lang w:eastAsia="ru-RU"/>
              </w:rPr>
              <w:t>=3004-7968</w:t>
            </w:r>
          </w:p>
          <w:p w:rsidR="005D7A74" w:rsidRPr="00663B3A" w:rsidRDefault="005D7A74" w:rsidP="006C0CCB">
            <w:pPr>
              <w:spacing w:after="0" w:line="240" w:lineRule="auto"/>
              <w:outlineLvl w:val="2"/>
              <w:rPr>
                <w:rFonts w:ascii="Times New Roman" w:hAnsi="Times New Roman"/>
                <w:bCs/>
                <w:sz w:val="20"/>
                <w:szCs w:val="20"/>
                <w:lang w:eastAsia="ru-RU"/>
              </w:rPr>
            </w:pPr>
            <w:hyperlink r:id="rId8" w:history="1">
              <w:r w:rsidRPr="00663B3A">
                <w:rPr>
                  <w:rStyle w:val="Hyperlink"/>
                  <w:rFonts w:ascii="Times New Roman" w:hAnsi="Times New Roman"/>
                  <w:bCs/>
                  <w:sz w:val="20"/>
                  <w:szCs w:val="20"/>
                  <w:lang w:val="en-US" w:eastAsia="ru-RU"/>
                </w:rPr>
                <w:t>kovaleroval</w:t>
              </w:r>
              <w:r w:rsidRPr="00663B3A">
                <w:rPr>
                  <w:rStyle w:val="Hyperlink"/>
                  <w:rFonts w:ascii="Times New Roman" w:hAnsi="Times New Roman"/>
                  <w:bCs/>
                  <w:sz w:val="20"/>
                  <w:szCs w:val="20"/>
                  <w:lang w:eastAsia="ru-RU"/>
                </w:rPr>
                <w:t>@</w:t>
              </w:r>
              <w:r w:rsidRPr="00663B3A">
                <w:rPr>
                  <w:rStyle w:val="Hyperlink"/>
                  <w:rFonts w:ascii="Times New Roman" w:hAnsi="Times New Roman"/>
                  <w:bCs/>
                  <w:sz w:val="20"/>
                  <w:szCs w:val="20"/>
                  <w:lang w:val="en-US" w:eastAsia="ru-RU"/>
                </w:rPr>
                <w:t>mail</w:t>
              </w:r>
              <w:r w:rsidRPr="00663B3A">
                <w:rPr>
                  <w:rStyle w:val="Hyperlink"/>
                  <w:rFonts w:ascii="Times New Roman" w:hAnsi="Times New Roman"/>
                  <w:bCs/>
                  <w:sz w:val="20"/>
                  <w:szCs w:val="20"/>
                  <w:lang w:eastAsia="ru-RU"/>
                </w:rPr>
                <w:t>.</w:t>
              </w:r>
              <w:r w:rsidRPr="00663B3A">
                <w:rPr>
                  <w:rStyle w:val="Hyperlink"/>
                  <w:rFonts w:ascii="Times New Roman" w:hAnsi="Times New Roman"/>
                  <w:bCs/>
                  <w:sz w:val="20"/>
                  <w:szCs w:val="20"/>
                  <w:lang w:val="en-US" w:eastAsia="ru-RU"/>
                </w:rPr>
                <w:t>ru</w:t>
              </w:r>
            </w:hyperlink>
          </w:p>
          <w:p w:rsidR="005D7A74" w:rsidRPr="005A503B" w:rsidRDefault="005D7A74" w:rsidP="005A503B">
            <w:pPr>
              <w:spacing w:after="0" w:line="240" w:lineRule="auto"/>
              <w:outlineLvl w:val="2"/>
              <w:rPr>
                <w:rFonts w:ascii="Times New Roman" w:hAnsi="Times New Roman"/>
                <w:bCs/>
                <w:i/>
                <w:sz w:val="20"/>
                <w:szCs w:val="20"/>
                <w:lang w:eastAsia="ru-RU"/>
              </w:rPr>
            </w:pPr>
            <w:r w:rsidRPr="005A503B">
              <w:rPr>
                <w:rFonts w:ascii="Times New Roman" w:hAnsi="Times New Roman"/>
                <w:bCs/>
                <w:i/>
                <w:sz w:val="20"/>
                <w:szCs w:val="20"/>
                <w:lang w:eastAsia="ru-RU"/>
              </w:rPr>
              <w:t>ФГБОУ ВО «Брянский государственный университет им. акад. И.Г. Петровского», Россия, Брянск, Бежицкая 14/7, 241036</w:t>
            </w:r>
          </w:p>
          <w:p w:rsidR="005D7A74" w:rsidRPr="00663B3A" w:rsidRDefault="005D7A74" w:rsidP="006C0CCB">
            <w:pPr>
              <w:spacing w:after="0" w:line="240" w:lineRule="auto"/>
              <w:outlineLvl w:val="2"/>
              <w:rPr>
                <w:rFonts w:ascii="Times New Roman" w:hAnsi="Times New Roman"/>
                <w:bCs/>
                <w:sz w:val="20"/>
                <w:szCs w:val="20"/>
                <w:lang w:eastAsia="ru-RU"/>
              </w:rPr>
            </w:pPr>
          </w:p>
        </w:tc>
        <w:tc>
          <w:tcPr>
            <w:tcW w:w="4643" w:type="dxa"/>
          </w:tcPr>
          <w:p w:rsidR="005D7A74" w:rsidRPr="00663B3A" w:rsidRDefault="005D7A74" w:rsidP="006C0CCB">
            <w:pPr>
              <w:spacing w:after="0" w:line="240" w:lineRule="auto"/>
              <w:outlineLvl w:val="2"/>
              <w:rPr>
                <w:rFonts w:ascii="Times New Roman" w:hAnsi="Times New Roman"/>
                <w:bCs/>
                <w:sz w:val="20"/>
                <w:szCs w:val="20"/>
                <w:lang w:val="en-US" w:eastAsia="ru-RU"/>
              </w:rPr>
            </w:pPr>
            <w:r w:rsidRPr="00663B3A">
              <w:rPr>
                <w:rFonts w:ascii="Times New Roman" w:hAnsi="Times New Roman"/>
                <w:bCs/>
                <w:sz w:val="20"/>
                <w:szCs w:val="20"/>
                <w:lang w:val="en-US" w:eastAsia="ru-RU"/>
              </w:rPr>
              <w:t>Kovalerova Ludmila Anatolyevna</w:t>
            </w:r>
          </w:p>
          <w:p w:rsidR="005D7A74" w:rsidRPr="00663B3A" w:rsidRDefault="005D7A74" w:rsidP="006C0CCB">
            <w:pPr>
              <w:spacing w:after="0" w:line="240" w:lineRule="auto"/>
              <w:outlineLvl w:val="2"/>
              <w:rPr>
                <w:rFonts w:ascii="Times New Roman" w:hAnsi="Times New Roman"/>
                <w:bCs/>
                <w:sz w:val="20"/>
                <w:szCs w:val="20"/>
                <w:lang w:val="en-US" w:eastAsia="ru-RU"/>
              </w:rPr>
            </w:pPr>
            <w:r>
              <w:rPr>
                <w:rFonts w:ascii="Times New Roman" w:hAnsi="Times New Roman"/>
                <w:bCs/>
                <w:sz w:val="20"/>
                <w:szCs w:val="20"/>
                <w:lang w:val="en-US" w:eastAsia="ru-RU"/>
              </w:rPr>
              <w:t>Cand.Econ.Sci.</w:t>
            </w:r>
            <w:r w:rsidRPr="00663B3A">
              <w:rPr>
                <w:rFonts w:ascii="Times New Roman" w:hAnsi="Times New Roman"/>
                <w:bCs/>
                <w:sz w:val="20"/>
                <w:szCs w:val="20"/>
                <w:lang w:val="en-US" w:eastAsia="ru-RU"/>
              </w:rPr>
              <w:t>, associate professor</w:t>
            </w:r>
          </w:p>
          <w:p w:rsidR="005D7A74" w:rsidRPr="005A503B" w:rsidRDefault="005D7A74" w:rsidP="006C0CCB">
            <w:pPr>
              <w:spacing w:after="0" w:line="240" w:lineRule="auto"/>
              <w:outlineLvl w:val="2"/>
              <w:rPr>
                <w:rFonts w:ascii="Times New Roman" w:hAnsi="Times New Roman"/>
                <w:bCs/>
                <w:sz w:val="20"/>
                <w:szCs w:val="20"/>
                <w:lang w:val="en-US" w:eastAsia="ru-RU"/>
              </w:rPr>
            </w:pPr>
            <w:r w:rsidRPr="00663B3A">
              <w:rPr>
                <w:rFonts w:ascii="Times New Roman" w:hAnsi="Times New Roman"/>
                <w:bCs/>
                <w:sz w:val="20"/>
                <w:szCs w:val="20"/>
                <w:lang w:val="en-US" w:eastAsia="ru-RU"/>
              </w:rPr>
              <w:t>kovaleroval</w:t>
            </w:r>
            <w:r w:rsidRPr="005A503B">
              <w:rPr>
                <w:rFonts w:ascii="Times New Roman" w:hAnsi="Times New Roman"/>
                <w:bCs/>
                <w:sz w:val="20"/>
                <w:szCs w:val="20"/>
                <w:lang w:val="en-US" w:eastAsia="ru-RU"/>
              </w:rPr>
              <w:t>@</w:t>
            </w:r>
            <w:r w:rsidRPr="00663B3A">
              <w:rPr>
                <w:rFonts w:ascii="Times New Roman" w:hAnsi="Times New Roman"/>
                <w:bCs/>
                <w:sz w:val="20"/>
                <w:szCs w:val="20"/>
                <w:lang w:val="en-US" w:eastAsia="ru-RU"/>
              </w:rPr>
              <w:t>mail</w:t>
            </w:r>
            <w:r w:rsidRPr="005A503B">
              <w:rPr>
                <w:rFonts w:ascii="Times New Roman" w:hAnsi="Times New Roman"/>
                <w:bCs/>
                <w:sz w:val="20"/>
                <w:szCs w:val="20"/>
                <w:lang w:val="en-US" w:eastAsia="ru-RU"/>
              </w:rPr>
              <w:t>.</w:t>
            </w:r>
            <w:r w:rsidRPr="00663B3A">
              <w:rPr>
                <w:rFonts w:ascii="Times New Roman" w:hAnsi="Times New Roman"/>
                <w:bCs/>
                <w:sz w:val="20"/>
                <w:szCs w:val="20"/>
                <w:lang w:val="en-US" w:eastAsia="ru-RU"/>
              </w:rPr>
              <w:t>ru</w:t>
            </w:r>
          </w:p>
          <w:p w:rsidR="005D7A74" w:rsidRPr="005A503B" w:rsidRDefault="005D7A74" w:rsidP="006C0CCB">
            <w:pPr>
              <w:spacing w:after="0" w:line="240" w:lineRule="auto"/>
              <w:outlineLvl w:val="2"/>
              <w:rPr>
                <w:rFonts w:ascii="Times New Roman" w:hAnsi="Times New Roman"/>
                <w:bCs/>
                <w:i/>
                <w:sz w:val="20"/>
                <w:szCs w:val="20"/>
                <w:lang w:val="en-US" w:eastAsia="ru-RU"/>
              </w:rPr>
            </w:pPr>
            <w:r w:rsidRPr="005A503B">
              <w:rPr>
                <w:rFonts w:ascii="Times New Roman" w:hAnsi="Times New Roman"/>
                <w:bCs/>
                <w:i/>
                <w:sz w:val="20"/>
                <w:szCs w:val="20"/>
                <w:lang w:val="en-US" w:eastAsia="ru-RU"/>
              </w:rPr>
              <w:t>FGBOU VO Bryansky state university named after the academician I. G. Petrovsky, Russia, Bryansk, Bezhickaja 14/7, 241036</w:t>
            </w:r>
          </w:p>
          <w:p w:rsidR="005D7A74" w:rsidRPr="00663B3A" w:rsidRDefault="005D7A74" w:rsidP="006C0CCB">
            <w:pPr>
              <w:spacing w:after="0" w:line="240" w:lineRule="auto"/>
              <w:outlineLvl w:val="2"/>
              <w:rPr>
                <w:rFonts w:ascii="Times New Roman" w:hAnsi="Times New Roman"/>
                <w:bCs/>
                <w:sz w:val="20"/>
                <w:szCs w:val="20"/>
                <w:lang w:val="en-US" w:eastAsia="ru-RU"/>
              </w:rPr>
            </w:pPr>
          </w:p>
        </w:tc>
      </w:tr>
      <w:tr w:rsidR="005D7A74" w:rsidRPr="008A2100" w:rsidTr="006C0CCB">
        <w:tc>
          <w:tcPr>
            <w:tcW w:w="4643" w:type="dxa"/>
          </w:tcPr>
          <w:p w:rsidR="005D7A74" w:rsidRPr="00663B3A" w:rsidRDefault="005D7A74" w:rsidP="006C0CCB">
            <w:pPr>
              <w:spacing w:after="0" w:line="240" w:lineRule="auto"/>
              <w:outlineLvl w:val="2"/>
              <w:rPr>
                <w:rFonts w:ascii="Times New Roman" w:hAnsi="Times New Roman"/>
                <w:bCs/>
                <w:sz w:val="20"/>
                <w:szCs w:val="20"/>
                <w:lang w:eastAsia="ru-RU"/>
              </w:rPr>
            </w:pPr>
            <w:bookmarkStart w:id="2" w:name="OLE_LINK18"/>
            <w:bookmarkStart w:id="3" w:name="OLE_LINK19"/>
            <w:r w:rsidRPr="00663B3A">
              <w:rPr>
                <w:rFonts w:ascii="Times New Roman" w:hAnsi="Times New Roman"/>
                <w:bCs/>
                <w:sz w:val="20"/>
                <w:szCs w:val="20"/>
                <w:lang w:eastAsia="ru-RU"/>
              </w:rPr>
              <w:t xml:space="preserve">Статья посвящена проблемам изучения рейтинговой оценки кредитоспособности банков. Раскрыто понятие и сущность процесса рейтингования. Авторами проведен ретроспективный анализ развития взглядов на формирование рейтинговой оценки в банковском секторе. Особое внимание уделено методике крупнейшего рейтингового агентства </w:t>
            </w:r>
            <w:r w:rsidRPr="00663B3A">
              <w:rPr>
                <w:rFonts w:ascii="Times New Roman" w:hAnsi="Times New Roman"/>
                <w:bCs/>
                <w:sz w:val="20"/>
                <w:szCs w:val="20"/>
                <w:lang w:val="en-US" w:eastAsia="ru-RU"/>
              </w:rPr>
              <w:t>Moody</w:t>
            </w:r>
            <w:r w:rsidRPr="00663B3A">
              <w:rPr>
                <w:rFonts w:ascii="Times New Roman" w:hAnsi="Times New Roman"/>
                <w:bCs/>
                <w:sz w:val="20"/>
                <w:szCs w:val="20"/>
                <w:lang w:eastAsia="ru-RU"/>
              </w:rPr>
              <w:t>'</w:t>
            </w:r>
            <w:r w:rsidRPr="00663B3A">
              <w:rPr>
                <w:rFonts w:ascii="Times New Roman" w:hAnsi="Times New Roman"/>
                <w:bCs/>
                <w:sz w:val="20"/>
                <w:szCs w:val="20"/>
                <w:lang w:val="en-US" w:eastAsia="ru-RU"/>
              </w:rPr>
              <w:t>s</w:t>
            </w:r>
            <w:r w:rsidRPr="00663B3A">
              <w:rPr>
                <w:rFonts w:ascii="Times New Roman" w:hAnsi="Times New Roman"/>
                <w:bCs/>
                <w:sz w:val="20"/>
                <w:szCs w:val="20"/>
                <w:lang w:eastAsia="ru-RU"/>
              </w:rPr>
              <w:t xml:space="preserve">, которая основана не только на изучении комплекса основных показателей деятельности компании на микро- и макроуровне, но и учитывает качество менеджмента компании и текущие тренды в рассматриваемой отрасли. На основе градации рейтингов проведен сравнительный анализ методик рейтинговых агентств </w:t>
            </w:r>
            <w:r w:rsidRPr="00663B3A">
              <w:rPr>
                <w:rFonts w:ascii="Times New Roman" w:hAnsi="Times New Roman"/>
                <w:bCs/>
                <w:sz w:val="20"/>
                <w:szCs w:val="20"/>
                <w:lang w:val="en-US" w:eastAsia="ru-RU"/>
              </w:rPr>
              <w:t>Standard</w:t>
            </w:r>
            <w:r w:rsidRPr="00663B3A">
              <w:rPr>
                <w:rFonts w:ascii="Times New Roman" w:hAnsi="Times New Roman"/>
                <w:bCs/>
                <w:sz w:val="20"/>
                <w:szCs w:val="20"/>
                <w:lang w:eastAsia="ru-RU"/>
              </w:rPr>
              <w:t xml:space="preserve"> &amp; </w:t>
            </w:r>
            <w:r w:rsidRPr="00663B3A">
              <w:rPr>
                <w:rFonts w:ascii="Times New Roman" w:hAnsi="Times New Roman"/>
                <w:bCs/>
                <w:sz w:val="20"/>
                <w:szCs w:val="20"/>
                <w:lang w:val="en-US" w:eastAsia="ru-RU"/>
              </w:rPr>
              <w:t>Poor</w:t>
            </w:r>
            <w:r w:rsidRPr="00663B3A">
              <w:rPr>
                <w:rFonts w:ascii="Times New Roman" w:hAnsi="Times New Roman"/>
                <w:bCs/>
                <w:sz w:val="20"/>
                <w:szCs w:val="20"/>
                <w:lang w:eastAsia="ru-RU"/>
              </w:rPr>
              <w:t>'</w:t>
            </w:r>
            <w:r w:rsidRPr="00663B3A">
              <w:rPr>
                <w:rFonts w:ascii="Times New Roman" w:hAnsi="Times New Roman"/>
                <w:bCs/>
                <w:sz w:val="20"/>
                <w:szCs w:val="20"/>
                <w:lang w:val="en-US" w:eastAsia="ru-RU"/>
              </w:rPr>
              <w:t>s</w:t>
            </w:r>
            <w:r w:rsidRPr="00663B3A">
              <w:rPr>
                <w:rFonts w:ascii="Times New Roman" w:hAnsi="Times New Roman"/>
                <w:bCs/>
                <w:sz w:val="20"/>
                <w:szCs w:val="20"/>
                <w:lang w:eastAsia="ru-RU"/>
              </w:rPr>
              <w:t xml:space="preserve"> и </w:t>
            </w:r>
            <w:r w:rsidRPr="00663B3A">
              <w:rPr>
                <w:rFonts w:ascii="Times New Roman" w:hAnsi="Times New Roman"/>
                <w:bCs/>
                <w:sz w:val="20"/>
                <w:szCs w:val="20"/>
                <w:lang w:val="en-US" w:eastAsia="ru-RU"/>
              </w:rPr>
              <w:t>Moody</w:t>
            </w:r>
            <w:r w:rsidRPr="00663B3A">
              <w:rPr>
                <w:rFonts w:ascii="Times New Roman" w:hAnsi="Times New Roman"/>
                <w:bCs/>
                <w:sz w:val="20"/>
                <w:szCs w:val="20"/>
                <w:lang w:eastAsia="ru-RU"/>
              </w:rPr>
              <w:t>'</w:t>
            </w:r>
            <w:r w:rsidRPr="00663B3A">
              <w:rPr>
                <w:rFonts w:ascii="Times New Roman" w:hAnsi="Times New Roman"/>
                <w:bCs/>
                <w:sz w:val="20"/>
                <w:szCs w:val="20"/>
                <w:lang w:val="en-US" w:eastAsia="ru-RU"/>
              </w:rPr>
              <w:t>s</w:t>
            </w:r>
            <w:r w:rsidRPr="00663B3A">
              <w:rPr>
                <w:rFonts w:ascii="Times New Roman" w:hAnsi="Times New Roman"/>
                <w:bCs/>
                <w:sz w:val="20"/>
                <w:szCs w:val="20"/>
                <w:lang w:eastAsia="ru-RU"/>
              </w:rPr>
              <w:t>, позволяющий выявить единство их подходов к анализу кредитоспособности компаний. Наряду с международным</w:t>
            </w:r>
            <w:r w:rsidRPr="008A2100">
              <w:rPr>
                <w:rFonts w:ascii="Times New Roman" w:hAnsi="Times New Roman"/>
                <w:bCs/>
                <w:sz w:val="20"/>
                <w:szCs w:val="20"/>
                <w:lang w:eastAsia="ru-RU"/>
              </w:rPr>
              <w:t>,</w:t>
            </w:r>
            <w:r w:rsidRPr="00663B3A">
              <w:rPr>
                <w:rFonts w:ascii="Times New Roman" w:hAnsi="Times New Roman"/>
                <w:bCs/>
                <w:sz w:val="20"/>
                <w:szCs w:val="20"/>
                <w:lang w:eastAsia="ru-RU"/>
              </w:rPr>
              <w:t xml:space="preserve"> изучен и российский опыт рейтингования. Рассмотрены правовые основы деятельности российских рейтинговых агентств и документы, являющиеся первоисточником данных для оценки деятельности компаний. Изучены особенности присвоения рейтингов в отечественной практике, в частности</w:t>
            </w:r>
            <w:r w:rsidRPr="00BD290B">
              <w:rPr>
                <w:rFonts w:ascii="Times New Roman" w:hAnsi="Times New Roman"/>
                <w:bCs/>
                <w:sz w:val="20"/>
                <w:szCs w:val="20"/>
                <w:lang w:eastAsia="ru-RU"/>
              </w:rPr>
              <w:t>,</w:t>
            </w:r>
            <w:r w:rsidRPr="00663B3A">
              <w:rPr>
                <w:rFonts w:ascii="Times New Roman" w:hAnsi="Times New Roman"/>
                <w:bCs/>
                <w:sz w:val="20"/>
                <w:szCs w:val="20"/>
                <w:lang w:eastAsia="ru-RU"/>
              </w:rPr>
              <w:t xml:space="preserve"> представлены критерии оценки агентства «Эксперт РА». Авторами представлены прогнозные значения ключевых показателей экономики Российской Федерации, влияющие на кредитный рейтинг страны, такие как уровень инфляции, динамика ВВП, ключевая ставка, уровень безработицы, курс рубля. Сделан вывод о необходимости перехода от количественной к качественной оценке при изучении эффективности деятельности организаций банковского сектора</w:t>
            </w:r>
            <w:bookmarkEnd w:id="2"/>
            <w:bookmarkEnd w:id="3"/>
          </w:p>
          <w:p w:rsidR="005D7A74" w:rsidRPr="00663B3A" w:rsidRDefault="005D7A74" w:rsidP="006C0CCB">
            <w:pPr>
              <w:spacing w:after="0" w:line="240" w:lineRule="auto"/>
              <w:outlineLvl w:val="2"/>
              <w:rPr>
                <w:rFonts w:ascii="Times New Roman" w:hAnsi="Times New Roman"/>
                <w:bCs/>
                <w:sz w:val="20"/>
                <w:szCs w:val="20"/>
                <w:lang w:eastAsia="ru-RU"/>
              </w:rPr>
            </w:pPr>
          </w:p>
        </w:tc>
        <w:tc>
          <w:tcPr>
            <w:tcW w:w="4643" w:type="dxa"/>
          </w:tcPr>
          <w:p w:rsidR="005D7A74" w:rsidRPr="00663B3A" w:rsidRDefault="005D7A74" w:rsidP="006C0CCB">
            <w:pPr>
              <w:spacing w:after="0" w:line="240" w:lineRule="auto"/>
              <w:outlineLvl w:val="2"/>
              <w:rPr>
                <w:rFonts w:ascii="Times New Roman" w:hAnsi="Times New Roman"/>
                <w:bCs/>
                <w:sz w:val="20"/>
                <w:szCs w:val="20"/>
                <w:lang w:val="en-US" w:eastAsia="ru-RU"/>
              </w:rPr>
            </w:pPr>
            <w:r w:rsidRPr="00663B3A">
              <w:rPr>
                <w:rFonts w:ascii="Times New Roman" w:hAnsi="Times New Roman"/>
                <w:bCs/>
                <w:sz w:val="20"/>
                <w:szCs w:val="20"/>
                <w:lang w:val="en-US" w:eastAsia="ru-RU"/>
              </w:rPr>
              <w:t xml:space="preserve">The article is devoted to the study of rating the creditworthiness of banks. The concept and </w:t>
            </w:r>
            <w:r>
              <w:rPr>
                <w:rFonts w:ascii="Times New Roman" w:hAnsi="Times New Roman"/>
                <w:bCs/>
                <w:sz w:val="20"/>
                <w:szCs w:val="20"/>
                <w:lang w:val="en-US" w:eastAsia="ru-RU"/>
              </w:rPr>
              <w:t xml:space="preserve">the </w:t>
            </w:r>
            <w:r w:rsidRPr="00663B3A">
              <w:rPr>
                <w:rFonts w:ascii="Times New Roman" w:hAnsi="Times New Roman"/>
                <w:bCs/>
                <w:sz w:val="20"/>
                <w:szCs w:val="20"/>
                <w:lang w:val="en-US" w:eastAsia="ru-RU"/>
              </w:rPr>
              <w:t xml:space="preserve">process </w:t>
            </w:r>
            <w:r>
              <w:rPr>
                <w:rFonts w:ascii="Times New Roman" w:hAnsi="Times New Roman"/>
                <w:bCs/>
                <w:sz w:val="20"/>
                <w:szCs w:val="20"/>
                <w:lang w:val="en-US" w:eastAsia="ru-RU"/>
              </w:rPr>
              <w:t xml:space="preserve">of </w:t>
            </w:r>
            <w:r w:rsidRPr="00663B3A">
              <w:rPr>
                <w:rFonts w:ascii="Times New Roman" w:hAnsi="Times New Roman"/>
                <w:bCs/>
                <w:sz w:val="20"/>
                <w:szCs w:val="20"/>
                <w:lang w:val="en-US" w:eastAsia="ru-RU"/>
              </w:rPr>
              <w:t>ranking</w:t>
            </w:r>
            <w:r>
              <w:rPr>
                <w:rFonts w:ascii="Times New Roman" w:hAnsi="Times New Roman"/>
                <w:bCs/>
                <w:sz w:val="20"/>
                <w:szCs w:val="20"/>
                <w:lang w:val="en-US" w:eastAsia="ru-RU"/>
              </w:rPr>
              <w:t xml:space="preserve"> have been revealed</w:t>
            </w:r>
            <w:r w:rsidRPr="00663B3A">
              <w:rPr>
                <w:rFonts w:ascii="Times New Roman" w:hAnsi="Times New Roman"/>
                <w:bCs/>
                <w:sz w:val="20"/>
                <w:szCs w:val="20"/>
                <w:lang w:val="en-US" w:eastAsia="ru-RU"/>
              </w:rPr>
              <w:t xml:space="preserve">. The authors </w:t>
            </w:r>
            <w:r>
              <w:rPr>
                <w:rFonts w:ascii="Times New Roman" w:hAnsi="Times New Roman"/>
                <w:bCs/>
                <w:sz w:val="20"/>
                <w:szCs w:val="20"/>
                <w:lang w:val="en-US" w:eastAsia="ru-RU"/>
              </w:rPr>
              <w:t xml:space="preserve">give a </w:t>
            </w:r>
            <w:r w:rsidRPr="00663B3A">
              <w:rPr>
                <w:rFonts w:ascii="Times New Roman" w:hAnsi="Times New Roman"/>
                <w:bCs/>
                <w:sz w:val="20"/>
                <w:szCs w:val="20"/>
                <w:lang w:val="en-US" w:eastAsia="ru-RU"/>
              </w:rPr>
              <w:t>retrospective analysis of the development of views on the formation of ratings in the banking sector. Particular attention is paid to the methodology of Moody's</w:t>
            </w:r>
            <w:r>
              <w:rPr>
                <w:rFonts w:ascii="Times New Roman" w:hAnsi="Times New Roman"/>
                <w:bCs/>
                <w:sz w:val="20"/>
                <w:szCs w:val="20"/>
                <w:lang w:val="en-US" w:eastAsia="ru-RU"/>
              </w:rPr>
              <w:t>,</w:t>
            </w:r>
            <w:r w:rsidRPr="00663B3A">
              <w:rPr>
                <w:rFonts w:ascii="Times New Roman" w:hAnsi="Times New Roman"/>
                <w:bCs/>
                <w:sz w:val="20"/>
                <w:szCs w:val="20"/>
                <w:lang w:val="en-US" w:eastAsia="ru-RU"/>
              </w:rPr>
              <w:t xml:space="preserve"> the largest rating agency, which is based not only on the study of the set of key performance indicators of the company at the micro and the macro level, but also takes into account the quality of company management and current trends in the industry. On the basis of gradation </w:t>
            </w:r>
            <w:r>
              <w:rPr>
                <w:rFonts w:ascii="Times New Roman" w:hAnsi="Times New Roman"/>
                <w:bCs/>
                <w:sz w:val="20"/>
                <w:szCs w:val="20"/>
                <w:lang w:val="en-US" w:eastAsia="ru-RU"/>
              </w:rPr>
              <w:t>we made a</w:t>
            </w:r>
            <w:r w:rsidRPr="00663B3A">
              <w:rPr>
                <w:rFonts w:ascii="Times New Roman" w:hAnsi="Times New Roman"/>
                <w:bCs/>
                <w:sz w:val="20"/>
                <w:szCs w:val="20"/>
                <w:lang w:val="en-US" w:eastAsia="ru-RU"/>
              </w:rPr>
              <w:t xml:space="preserve"> comparative analysis of methods of ratings by Standard and poor's, </w:t>
            </w:r>
            <w:r>
              <w:rPr>
                <w:rFonts w:ascii="Times New Roman" w:hAnsi="Times New Roman"/>
                <w:bCs/>
                <w:sz w:val="20"/>
                <w:szCs w:val="20"/>
                <w:lang w:val="en-US" w:eastAsia="ru-RU"/>
              </w:rPr>
              <w:t xml:space="preserve">and </w:t>
            </w:r>
            <w:r w:rsidRPr="00663B3A">
              <w:rPr>
                <w:rFonts w:ascii="Times New Roman" w:hAnsi="Times New Roman"/>
                <w:bCs/>
                <w:sz w:val="20"/>
                <w:szCs w:val="20"/>
                <w:lang w:val="en-US" w:eastAsia="ru-RU"/>
              </w:rPr>
              <w:t xml:space="preserve">Moody's rating agencies, </w:t>
            </w:r>
            <w:r>
              <w:rPr>
                <w:rFonts w:ascii="Times New Roman" w:hAnsi="Times New Roman"/>
                <w:bCs/>
                <w:sz w:val="20"/>
                <w:szCs w:val="20"/>
                <w:lang w:val="en-US" w:eastAsia="ru-RU"/>
              </w:rPr>
              <w:t>which allows</w:t>
            </w:r>
            <w:r w:rsidRPr="00663B3A">
              <w:rPr>
                <w:rFonts w:ascii="Times New Roman" w:hAnsi="Times New Roman"/>
                <w:bCs/>
                <w:sz w:val="20"/>
                <w:szCs w:val="20"/>
                <w:lang w:val="en-US" w:eastAsia="ru-RU"/>
              </w:rPr>
              <w:t xml:space="preserve"> identifying the unity of their approaches to evaluating the creditworthiness of companies. Along with international </w:t>
            </w:r>
            <w:r>
              <w:rPr>
                <w:rFonts w:ascii="Times New Roman" w:hAnsi="Times New Roman"/>
                <w:bCs/>
                <w:sz w:val="20"/>
                <w:szCs w:val="20"/>
                <w:lang w:val="en-US" w:eastAsia="ru-RU"/>
              </w:rPr>
              <w:t>experience</w:t>
            </w:r>
            <w:r w:rsidRPr="00663B3A">
              <w:rPr>
                <w:rFonts w:ascii="Times New Roman" w:hAnsi="Times New Roman"/>
                <w:bCs/>
                <w:sz w:val="20"/>
                <w:szCs w:val="20"/>
                <w:lang w:val="en-US" w:eastAsia="ru-RU"/>
              </w:rPr>
              <w:t xml:space="preserve"> rating</w:t>
            </w:r>
            <w:r>
              <w:rPr>
                <w:rFonts w:ascii="Times New Roman" w:hAnsi="Times New Roman"/>
                <w:bCs/>
                <w:sz w:val="20"/>
                <w:szCs w:val="20"/>
                <w:lang w:val="en-US" w:eastAsia="ru-RU"/>
              </w:rPr>
              <w:t xml:space="preserve">, we have </w:t>
            </w:r>
            <w:r w:rsidRPr="00663B3A">
              <w:rPr>
                <w:rFonts w:ascii="Times New Roman" w:hAnsi="Times New Roman"/>
                <w:bCs/>
                <w:sz w:val="20"/>
                <w:szCs w:val="20"/>
                <w:lang w:val="en-US" w:eastAsia="ru-RU"/>
              </w:rPr>
              <w:t xml:space="preserve">studied Russian experience. </w:t>
            </w:r>
            <w:r>
              <w:rPr>
                <w:rFonts w:ascii="Times New Roman" w:hAnsi="Times New Roman"/>
                <w:bCs/>
                <w:sz w:val="20"/>
                <w:szCs w:val="20"/>
                <w:lang w:val="en-US" w:eastAsia="ru-RU"/>
              </w:rPr>
              <w:t>We have c</w:t>
            </w:r>
            <w:r w:rsidRPr="00663B3A">
              <w:rPr>
                <w:rFonts w:ascii="Times New Roman" w:hAnsi="Times New Roman"/>
                <w:bCs/>
                <w:sz w:val="20"/>
                <w:szCs w:val="20"/>
                <w:lang w:val="en-US" w:eastAsia="ru-RU"/>
              </w:rPr>
              <w:t xml:space="preserve">onsidered the legal basis for the activities of Russian ratings agencies and documents </w:t>
            </w:r>
            <w:r>
              <w:rPr>
                <w:rFonts w:ascii="Times New Roman" w:hAnsi="Times New Roman"/>
                <w:bCs/>
                <w:sz w:val="20"/>
                <w:szCs w:val="20"/>
                <w:lang w:val="en-US" w:eastAsia="ru-RU"/>
              </w:rPr>
              <w:t xml:space="preserve">that </w:t>
            </w:r>
            <w:r w:rsidRPr="00663B3A">
              <w:rPr>
                <w:rFonts w:ascii="Times New Roman" w:hAnsi="Times New Roman"/>
                <w:bCs/>
                <w:sz w:val="20"/>
                <w:szCs w:val="20"/>
                <w:lang w:val="en-US" w:eastAsia="ru-RU"/>
              </w:rPr>
              <w:t xml:space="preserve">are the primary source of data for the evaluation of companies. </w:t>
            </w:r>
            <w:r>
              <w:rPr>
                <w:rFonts w:ascii="Times New Roman" w:hAnsi="Times New Roman"/>
                <w:bCs/>
                <w:sz w:val="20"/>
                <w:szCs w:val="20"/>
                <w:lang w:val="en-US" w:eastAsia="ru-RU"/>
              </w:rPr>
              <w:t>We study r</w:t>
            </w:r>
            <w:r w:rsidRPr="00663B3A">
              <w:rPr>
                <w:rFonts w:ascii="Times New Roman" w:hAnsi="Times New Roman"/>
                <w:bCs/>
                <w:sz w:val="20"/>
                <w:szCs w:val="20"/>
                <w:lang w:val="en-US" w:eastAsia="ru-RU"/>
              </w:rPr>
              <w:t>atability particularities in domestic practice; in particular</w:t>
            </w:r>
            <w:r>
              <w:rPr>
                <w:rFonts w:ascii="Times New Roman" w:hAnsi="Times New Roman"/>
                <w:bCs/>
                <w:sz w:val="20"/>
                <w:szCs w:val="20"/>
                <w:lang w:val="en-US" w:eastAsia="ru-RU"/>
              </w:rPr>
              <w:t>,</w:t>
            </w:r>
            <w:r w:rsidRPr="00663B3A">
              <w:rPr>
                <w:rFonts w:ascii="Times New Roman" w:hAnsi="Times New Roman"/>
                <w:bCs/>
                <w:sz w:val="20"/>
                <w:szCs w:val="20"/>
                <w:lang w:val="en-US" w:eastAsia="ru-RU"/>
              </w:rPr>
              <w:t xml:space="preserve"> </w:t>
            </w:r>
            <w:r>
              <w:rPr>
                <w:rFonts w:ascii="Times New Roman" w:hAnsi="Times New Roman"/>
                <w:bCs/>
                <w:sz w:val="20"/>
                <w:szCs w:val="20"/>
                <w:lang w:val="en-US" w:eastAsia="ru-RU"/>
              </w:rPr>
              <w:t xml:space="preserve">we have </w:t>
            </w:r>
            <w:r w:rsidRPr="00663B3A">
              <w:rPr>
                <w:rFonts w:ascii="Times New Roman" w:hAnsi="Times New Roman"/>
                <w:bCs/>
                <w:sz w:val="20"/>
                <w:szCs w:val="20"/>
                <w:lang w:val="en-US" w:eastAsia="ru-RU"/>
              </w:rPr>
              <w:t xml:space="preserve">presented criteria for Rating Agency </w:t>
            </w:r>
            <w:r>
              <w:rPr>
                <w:rFonts w:ascii="Times New Roman" w:hAnsi="Times New Roman"/>
                <w:bCs/>
                <w:sz w:val="20"/>
                <w:szCs w:val="20"/>
                <w:lang w:val="en-US" w:eastAsia="ru-RU"/>
              </w:rPr>
              <w:t xml:space="preserve">called </w:t>
            </w:r>
            <w:r w:rsidRPr="00663B3A">
              <w:rPr>
                <w:rFonts w:ascii="Times New Roman" w:hAnsi="Times New Roman"/>
                <w:bCs/>
                <w:sz w:val="20"/>
                <w:szCs w:val="20"/>
                <w:lang w:val="en-US" w:eastAsia="ru-RU"/>
              </w:rPr>
              <w:t xml:space="preserve">Expert RA. The authors presented the forecasted values of key indicators of the economy of the Russian Federation, which affect the country's credit rating, such as GDP, inflation rate, the key rate, unemployment rate, exchange rate of the ruble. </w:t>
            </w:r>
            <w:r>
              <w:rPr>
                <w:rFonts w:ascii="Times New Roman" w:hAnsi="Times New Roman"/>
                <w:bCs/>
                <w:sz w:val="20"/>
                <w:szCs w:val="20"/>
                <w:lang w:val="en-US" w:eastAsia="ru-RU"/>
              </w:rPr>
              <w:t>It was c</w:t>
            </w:r>
            <w:r w:rsidRPr="00663B3A">
              <w:rPr>
                <w:rFonts w:ascii="Times New Roman" w:hAnsi="Times New Roman"/>
                <w:bCs/>
                <w:sz w:val="20"/>
                <w:szCs w:val="20"/>
                <w:lang w:val="en-US" w:eastAsia="ru-RU"/>
              </w:rPr>
              <w:t>oncluded that there was a need to move from quantitative to qualitative assessment when examining the organizational effe</w:t>
            </w:r>
            <w:r>
              <w:rPr>
                <w:rFonts w:ascii="Times New Roman" w:hAnsi="Times New Roman"/>
                <w:bCs/>
                <w:sz w:val="20"/>
                <w:szCs w:val="20"/>
                <w:lang w:val="en-US" w:eastAsia="ru-RU"/>
              </w:rPr>
              <w:t>ctiveness of the banking sector</w:t>
            </w:r>
          </w:p>
        </w:tc>
      </w:tr>
      <w:tr w:rsidR="005D7A74" w:rsidRPr="008A2100" w:rsidTr="006C0CCB">
        <w:tc>
          <w:tcPr>
            <w:tcW w:w="4643" w:type="dxa"/>
          </w:tcPr>
          <w:p w:rsidR="005D7A74" w:rsidRDefault="005D7A74" w:rsidP="006C0CCB">
            <w:pPr>
              <w:spacing w:after="0" w:line="240" w:lineRule="auto"/>
              <w:outlineLvl w:val="2"/>
              <w:rPr>
                <w:rFonts w:ascii="Times New Roman" w:hAnsi="Times New Roman"/>
                <w:bCs/>
                <w:sz w:val="20"/>
                <w:szCs w:val="20"/>
                <w:lang w:val="en-US" w:eastAsia="ru-RU"/>
              </w:rPr>
            </w:pPr>
            <w:r w:rsidRPr="005A503B">
              <w:rPr>
                <w:rFonts w:ascii="Times New Roman" w:hAnsi="Times New Roman"/>
                <w:bCs/>
                <w:sz w:val="20"/>
                <w:szCs w:val="20"/>
                <w:lang w:eastAsia="ru-RU"/>
              </w:rPr>
              <w:t>Ключевые</w:t>
            </w:r>
            <w:r w:rsidRPr="005A503B">
              <w:rPr>
                <w:rFonts w:ascii="Times New Roman" w:hAnsi="Times New Roman"/>
                <w:bCs/>
                <w:sz w:val="20"/>
                <w:szCs w:val="20"/>
                <w:lang w:val="en-US" w:eastAsia="ru-RU"/>
              </w:rPr>
              <w:t xml:space="preserve"> </w:t>
            </w:r>
            <w:r w:rsidRPr="005A503B">
              <w:rPr>
                <w:rFonts w:ascii="Times New Roman" w:hAnsi="Times New Roman"/>
                <w:bCs/>
                <w:sz w:val="20"/>
                <w:szCs w:val="20"/>
                <w:lang w:eastAsia="ru-RU"/>
              </w:rPr>
              <w:t>слова</w:t>
            </w:r>
            <w:r w:rsidRPr="005A503B">
              <w:rPr>
                <w:rFonts w:ascii="Times New Roman" w:hAnsi="Times New Roman"/>
                <w:bCs/>
                <w:sz w:val="20"/>
                <w:szCs w:val="20"/>
                <w:lang w:val="en-US" w:eastAsia="ru-RU"/>
              </w:rPr>
              <w:t xml:space="preserve">: </w:t>
            </w:r>
            <w:r w:rsidRPr="00663B3A">
              <w:rPr>
                <w:rFonts w:ascii="Times New Roman" w:hAnsi="Times New Roman"/>
                <w:bCs/>
                <w:sz w:val="20"/>
                <w:szCs w:val="20"/>
                <w:lang w:eastAsia="ru-RU"/>
              </w:rPr>
              <w:t>РЕЙТИНГ</w:t>
            </w:r>
            <w:r w:rsidRPr="00663B3A">
              <w:rPr>
                <w:rFonts w:ascii="Times New Roman" w:hAnsi="Times New Roman"/>
                <w:bCs/>
                <w:sz w:val="20"/>
                <w:szCs w:val="20"/>
                <w:lang w:val="en-US" w:eastAsia="ru-RU"/>
              </w:rPr>
              <w:t xml:space="preserve"> </w:t>
            </w:r>
            <w:r w:rsidRPr="00663B3A">
              <w:rPr>
                <w:rFonts w:ascii="Times New Roman" w:hAnsi="Times New Roman"/>
                <w:bCs/>
                <w:sz w:val="20"/>
                <w:szCs w:val="20"/>
                <w:lang w:eastAsia="ru-RU"/>
              </w:rPr>
              <w:t>КРЕДИТОСПОСОБНОСТИ</w:t>
            </w:r>
            <w:r w:rsidRPr="00663B3A">
              <w:rPr>
                <w:rFonts w:ascii="Times New Roman" w:hAnsi="Times New Roman"/>
                <w:bCs/>
                <w:sz w:val="20"/>
                <w:szCs w:val="20"/>
                <w:lang w:val="en-US" w:eastAsia="ru-RU"/>
              </w:rPr>
              <w:t xml:space="preserve">, </w:t>
            </w:r>
            <w:r w:rsidRPr="00663B3A">
              <w:rPr>
                <w:rFonts w:ascii="Times New Roman" w:hAnsi="Times New Roman"/>
                <w:bCs/>
                <w:sz w:val="20"/>
                <w:szCs w:val="20"/>
                <w:lang w:eastAsia="ru-RU"/>
              </w:rPr>
              <w:t>РЕЙТИНГОВЫЕ</w:t>
            </w:r>
            <w:r w:rsidRPr="00663B3A">
              <w:rPr>
                <w:rFonts w:ascii="Times New Roman" w:hAnsi="Times New Roman"/>
                <w:bCs/>
                <w:sz w:val="20"/>
                <w:szCs w:val="20"/>
                <w:lang w:val="en-US" w:eastAsia="ru-RU"/>
              </w:rPr>
              <w:t xml:space="preserve"> </w:t>
            </w:r>
            <w:r w:rsidRPr="00663B3A">
              <w:rPr>
                <w:rFonts w:ascii="Times New Roman" w:hAnsi="Times New Roman"/>
                <w:bCs/>
                <w:sz w:val="20"/>
                <w:szCs w:val="20"/>
                <w:lang w:eastAsia="ru-RU"/>
              </w:rPr>
              <w:t>АГЕНТСТВА</w:t>
            </w:r>
            <w:r w:rsidRPr="00663B3A">
              <w:rPr>
                <w:rFonts w:ascii="Times New Roman" w:hAnsi="Times New Roman"/>
                <w:bCs/>
                <w:sz w:val="20"/>
                <w:szCs w:val="20"/>
                <w:lang w:val="en-US" w:eastAsia="ru-RU"/>
              </w:rPr>
              <w:t xml:space="preserve">, </w:t>
            </w:r>
            <w:r w:rsidRPr="00663B3A">
              <w:rPr>
                <w:rFonts w:ascii="Times New Roman" w:hAnsi="Times New Roman"/>
                <w:bCs/>
                <w:sz w:val="20"/>
                <w:szCs w:val="20"/>
                <w:lang w:eastAsia="ru-RU"/>
              </w:rPr>
              <w:t>ЭКСПЕРТ</w:t>
            </w:r>
            <w:r w:rsidRPr="00663B3A">
              <w:rPr>
                <w:rFonts w:ascii="Times New Roman" w:hAnsi="Times New Roman"/>
                <w:bCs/>
                <w:sz w:val="20"/>
                <w:szCs w:val="20"/>
                <w:lang w:val="en-US" w:eastAsia="ru-RU"/>
              </w:rPr>
              <w:t xml:space="preserve"> </w:t>
            </w:r>
            <w:r w:rsidRPr="00663B3A">
              <w:rPr>
                <w:rFonts w:ascii="Times New Roman" w:hAnsi="Times New Roman"/>
                <w:bCs/>
                <w:sz w:val="20"/>
                <w:szCs w:val="20"/>
                <w:lang w:eastAsia="ru-RU"/>
              </w:rPr>
              <w:t>РА</w:t>
            </w:r>
            <w:r w:rsidRPr="00663B3A">
              <w:rPr>
                <w:rFonts w:ascii="Times New Roman" w:hAnsi="Times New Roman"/>
                <w:bCs/>
                <w:sz w:val="20"/>
                <w:szCs w:val="20"/>
                <w:lang w:val="en-US" w:eastAsia="ru-RU"/>
              </w:rPr>
              <w:t xml:space="preserve">, MOODY'S, STANDARD &amp; POOR'S, FITCH </w:t>
            </w:r>
            <w:r>
              <w:rPr>
                <w:rFonts w:ascii="Times New Roman" w:hAnsi="Times New Roman"/>
                <w:bCs/>
                <w:sz w:val="20"/>
                <w:szCs w:val="20"/>
                <w:lang w:val="en-US" w:eastAsia="ru-RU"/>
              </w:rPr>
              <w:t>RATING</w:t>
            </w:r>
          </w:p>
          <w:p w:rsidR="005D7A74" w:rsidRDefault="005D7A74" w:rsidP="006C0CCB">
            <w:pPr>
              <w:spacing w:after="0" w:line="240" w:lineRule="auto"/>
              <w:outlineLvl w:val="2"/>
              <w:rPr>
                <w:rFonts w:ascii="Times New Roman" w:hAnsi="Times New Roman"/>
                <w:bCs/>
                <w:sz w:val="20"/>
                <w:szCs w:val="20"/>
                <w:lang w:val="en-US" w:eastAsia="ru-RU"/>
              </w:rPr>
            </w:pPr>
          </w:p>
          <w:p w:rsidR="005D7A74" w:rsidRPr="00663B3A" w:rsidRDefault="005D7A74" w:rsidP="006C0CCB">
            <w:pPr>
              <w:spacing w:after="0" w:line="240" w:lineRule="auto"/>
              <w:outlineLvl w:val="2"/>
              <w:rPr>
                <w:rFonts w:ascii="Times New Roman" w:hAnsi="Times New Roman"/>
                <w:bCs/>
                <w:sz w:val="20"/>
                <w:szCs w:val="20"/>
                <w:lang w:val="en-US" w:eastAsia="ru-RU"/>
              </w:rPr>
            </w:pPr>
            <w:r w:rsidRPr="003167F1">
              <w:rPr>
                <w:rFonts w:ascii="Arial" w:hAnsi="Arial" w:cs="Arial"/>
                <w:b/>
                <w:sz w:val="20"/>
                <w:szCs w:val="20"/>
                <w:lang w:val="en-US"/>
              </w:rPr>
              <w:t>Doi: 10.21515/1990-4665-12</w:t>
            </w:r>
            <w:r>
              <w:rPr>
                <w:rFonts w:ascii="Arial" w:hAnsi="Arial" w:cs="Arial"/>
                <w:b/>
                <w:sz w:val="20"/>
                <w:szCs w:val="20"/>
                <w:lang w:val="en-US"/>
              </w:rPr>
              <w:t>7</w:t>
            </w:r>
            <w:r w:rsidRPr="003167F1">
              <w:rPr>
                <w:rFonts w:ascii="Arial" w:hAnsi="Arial" w:cs="Arial"/>
                <w:b/>
                <w:sz w:val="20"/>
                <w:szCs w:val="20"/>
                <w:lang w:val="en-US"/>
              </w:rPr>
              <w:t>-0</w:t>
            </w:r>
            <w:r>
              <w:rPr>
                <w:rFonts w:ascii="Arial" w:hAnsi="Arial" w:cs="Arial"/>
                <w:b/>
                <w:sz w:val="20"/>
                <w:szCs w:val="20"/>
                <w:lang w:val="en-US"/>
              </w:rPr>
              <w:t>22</w:t>
            </w:r>
          </w:p>
        </w:tc>
        <w:tc>
          <w:tcPr>
            <w:tcW w:w="4643" w:type="dxa"/>
          </w:tcPr>
          <w:p w:rsidR="005D7A74" w:rsidRPr="00663B3A" w:rsidRDefault="005D7A74" w:rsidP="006C0CCB">
            <w:pPr>
              <w:spacing w:after="0" w:line="240" w:lineRule="auto"/>
              <w:outlineLvl w:val="2"/>
              <w:rPr>
                <w:rFonts w:ascii="Times New Roman" w:hAnsi="Times New Roman"/>
                <w:bCs/>
                <w:sz w:val="20"/>
                <w:szCs w:val="20"/>
                <w:lang w:val="en-US" w:eastAsia="ru-RU"/>
              </w:rPr>
            </w:pPr>
            <w:r>
              <w:rPr>
                <w:rFonts w:ascii="Times New Roman" w:hAnsi="Times New Roman"/>
                <w:bCs/>
                <w:sz w:val="20"/>
                <w:szCs w:val="20"/>
                <w:lang w:val="en-US" w:eastAsia="ru-RU"/>
              </w:rPr>
              <w:t>Key</w:t>
            </w:r>
            <w:r w:rsidRPr="005A503B">
              <w:rPr>
                <w:rFonts w:ascii="Times New Roman" w:hAnsi="Times New Roman"/>
                <w:bCs/>
                <w:sz w:val="20"/>
                <w:szCs w:val="20"/>
                <w:lang w:val="en-US" w:eastAsia="ru-RU"/>
              </w:rPr>
              <w:t>words:</w:t>
            </w:r>
            <w:r w:rsidRPr="00663B3A">
              <w:rPr>
                <w:rFonts w:ascii="Times New Roman" w:hAnsi="Times New Roman"/>
                <w:bCs/>
                <w:sz w:val="20"/>
                <w:szCs w:val="20"/>
                <w:lang w:val="en-US" w:eastAsia="ru-RU"/>
              </w:rPr>
              <w:t xml:space="preserve"> CREDIT RATING AGENCIES CRAS, RA EXPERT, MOODY'S,</w:t>
            </w:r>
            <w:r>
              <w:rPr>
                <w:rFonts w:ascii="Times New Roman" w:hAnsi="Times New Roman"/>
                <w:bCs/>
                <w:sz w:val="20"/>
                <w:szCs w:val="20"/>
                <w:lang w:val="en-US" w:eastAsia="ru-RU"/>
              </w:rPr>
              <w:t xml:space="preserve"> STANDARD POOR'S &amp; FITCH RATING</w:t>
            </w:r>
          </w:p>
        </w:tc>
      </w:tr>
    </w:tbl>
    <w:p w:rsidR="005D7A74" w:rsidRDefault="005D7A74" w:rsidP="00DC3F29">
      <w:pPr>
        <w:spacing w:after="0" w:line="360" w:lineRule="auto"/>
        <w:ind w:firstLine="709"/>
        <w:jc w:val="both"/>
        <w:outlineLvl w:val="2"/>
        <w:rPr>
          <w:rFonts w:ascii="Times New Roman" w:hAnsi="Times New Roman"/>
          <w:bCs/>
          <w:sz w:val="28"/>
          <w:szCs w:val="27"/>
          <w:lang w:val="en-US" w:eastAsia="ru-RU"/>
        </w:rPr>
      </w:pPr>
    </w:p>
    <w:p w:rsidR="005D7A74" w:rsidRDefault="005D7A74" w:rsidP="00DC3F29">
      <w:pPr>
        <w:spacing w:after="0" w:line="360" w:lineRule="auto"/>
        <w:ind w:firstLine="709"/>
        <w:jc w:val="both"/>
        <w:outlineLvl w:val="2"/>
        <w:rPr>
          <w:rFonts w:ascii="Times New Roman" w:hAnsi="Times New Roman"/>
          <w:b/>
          <w:bCs/>
          <w:sz w:val="27"/>
          <w:szCs w:val="27"/>
          <w:lang w:eastAsia="ru-RU"/>
        </w:rPr>
      </w:pPr>
      <w:r>
        <w:rPr>
          <w:rFonts w:ascii="Times New Roman" w:hAnsi="Times New Roman"/>
          <w:bCs/>
          <w:sz w:val="28"/>
          <w:szCs w:val="27"/>
          <w:lang w:eastAsia="ru-RU"/>
        </w:rPr>
        <w:t xml:space="preserve">Рейтинговая оценка кредитоспособности банка является неотъемлемой частью полноценной характеристики его деятельности. В настоящее время такую оценку могут дать независимые рейтинговые агентства. Самыми известными и авторитетными агентствами из международных являются </w:t>
      </w:r>
      <w:r w:rsidRPr="00974A77">
        <w:rPr>
          <w:rFonts w:ascii="Times New Roman" w:hAnsi="Times New Roman"/>
          <w:bCs/>
          <w:sz w:val="28"/>
          <w:szCs w:val="27"/>
          <w:lang w:eastAsia="ru-RU"/>
        </w:rPr>
        <w:t>Moody's</w:t>
      </w:r>
      <w:r>
        <w:rPr>
          <w:rFonts w:ascii="Times New Roman" w:hAnsi="Times New Roman"/>
          <w:bCs/>
          <w:sz w:val="28"/>
          <w:szCs w:val="27"/>
          <w:lang w:eastAsia="ru-RU"/>
        </w:rPr>
        <w:t xml:space="preserve">, </w:t>
      </w:r>
      <w:r w:rsidRPr="00974A77">
        <w:rPr>
          <w:rFonts w:ascii="Times New Roman" w:hAnsi="Times New Roman"/>
          <w:bCs/>
          <w:sz w:val="28"/>
          <w:szCs w:val="27"/>
          <w:lang w:eastAsia="ru-RU"/>
        </w:rPr>
        <w:t>Standard &amp; Poor's</w:t>
      </w:r>
      <w:r>
        <w:rPr>
          <w:rFonts w:ascii="Times New Roman" w:hAnsi="Times New Roman"/>
          <w:bCs/>
          <w:sz w:val="28"/>
          <w:szCs w:val="27"/>
          <w:lang w:eastAsia="ru-RU"/>
        </w:rPr>
        <w:t xml:space="preserve">, </w:t>
      </w:r>
      <w:r w:rsidRPr="00974A77">
        <w:rPr>
          <w:rFonts w:ascii="Times New Roman" w:hAnsi="Times New Roman"/>
          <w:bCs/>
          <w:sz w:val="28"/>
          <w:szCs w:val="27"/>
          <w:lang w:eastAsia="ru-RU"/>
        </w:rPr>
        <w:t>Fitch Ratings</w:t>
      </w:r>
      <w:r>
        <w:rPr>
          <w:rFonts w:ascii="Times New Roman" w:hAnsi="Times New Roman"/>
          <w:bCs/>
          <w:sz w:val="28"/>
          <w:szCs w:val="27"/>
          <w:lang w:eastAsia="ru-RU"/>
        </w:rPr>
        <w:t xml:space="preserve">, а из российских - Эксперт РА, </w:t>
      </w:r>
      <w:r w:rsidRPr="00974A77">
        <w:rPr>
          <w:rFonts w:ascii="Times New Roman" w:hAnsi="Times New Roman"/>
          <w:bCs/>
          <w:sz w:val="28"/>
          <w:szCs w:val="27"/>
          <w:lang w:eastAsia="ru-RU"/>
        </w:rPr>
        <w:t>Национальное Рейтинговое Агентство (НРА), АК&amp;M,</w:t>
      </w:r>
      <w:r>
        <w:rPr>
          <w:rFonts w:ascii="Times New Roman" w:hAnsi="Times New Roman"/>
          <w:bCs/>
          <w:sz w:val="28"/>
          <w:szCs w:val="27"/>
          <w:lang w:eastAsia="ru-RU"/>
        </w:rPr>
        <w:t xml:space="preserve"> </w:t>
      </w:r>
      <w:r w:rsidRPr="00974A77">
        <w:rPr>
          <w:rFonts w:ascii="Times New Roman" w:hAnsi="Times New Roman"/>
          <w:bCs/>
          <w:sz w:val="28"/>
          <w:szCs w:val="27"/>
          <w:lang w:eastAsia="ru-RU"/>
        </w:rPr>
        <w:t>RusRating.</w:t>
      </w:r>
      <w:r>
        <w:rPr>
          <w:rFonts w:ascii="Times New Roman" w:hAnsi="Times New Roman"/>
          <w:bCs/>
          <w:sz w:val="28"/>
          <w:szCs w:val="27"/>
          <w:lang w:eastAsia="ru-RU"/>
        </w:rPr>
        <w:t xml:space="preserve"> Важность оценки кредитоспособности банка для повышения авторитета самого банка перед клиентами определяет актуальность выбранной темы. Любое агентство вправе разрабатывать и утверждать свою собственную методологию рейтинговой оценки кредитоспособности </w:t>
      </w:r>
      <w:r w:rsidRPr="00287C98">
        <w:rPr>
          <w:rFonts w:ascii="Times New Roman" w:hAnsi="Times New Roman"/>
          <w:bCs/>
          <w:sz w:val="28"/>
          <w:szCs w:val="27"/>
          <w:lang w:eastAsia="ru-RU"/>
        </w:rPr>
        <w:t>[</w:t>
      </w:r>
      <w:r>
        <w:rPr>
          <w:rFonts w:ascii="Times New Roman" w:hAnsi="Times New Roman"/>
          <w:bCs/>
          <w:sz w:val="28"/>
          <w:szCs w:val="27"/>
          <w:lang w:eastAsia="ru-RU"/>
        </w:rPr>
        <w:t>2</w:t>
      </w:r>
      <w:r w:rsidRPr="00287C98">
        <w:rPr>
          <w:rFonts w:ascii="Times New Roman" w:hAnsi="Times New Roman"/>
          <w:bCs/>
          <w:sz w:val="28"/>
          <w:szCs w:val="27"/>
          <w:lang w:eastAsia="ru-RU"/>
        </w:rPr>
        <w:t>]</w:t>
      </w:r>
      <w:r>
        <w:rPr>
          <w:rFonts w:ascii="Times New Roman" w:hAnsi="Times New Roman"/>
          <w:bCs/>
          <w:sz w:val="28"/>
          <w:szCs w:val="27"/>
          <w:lang w:eastAsia="ru-RU"/>
        </w:rPr>
        <w:t>.</w:t>
      </w:r>
    </w:p>
    <w:p w:rsidR="005D7A74" w:rsidRDefault="005D7A74" w:rsidP="00DC3F29">
      <w:pPr>
        <w:spacing w:after="0" w:line="360" w:lineRule="auto"/>
        <w:ind w:firstLine="709"/>
        <w:jc w:val="both"/>
        <w:rPr>
          <w:rFonts w:ascii="Times New Roman" w:hAnsi="Times New Roman"/>
          <w:sz w:val="28"/>
          <w:szCs w:val="28"/>
        </w:rPr>
      </w:pPr>
      <w:r>
        <w:rPr>
          <w:rFonts w:ascii="Times New Roman" w:hAnsi="Times New Roman"/>
          <w:bCs/>
          <w:sz w:val="28"/>
          <w:szCs w:val="28"/>
          <w:lang w:eastAsia="ru-RU"/>
        </w:rPr>
        <w:t>Р</w:t>
      </w:r>
      <w:r w:rsidRPr="00133634">
        <w:rPr>
          <w:rFonts w:ascii="Times New Roman" w:hAnsi="Times New Roman"/>
          <w:bCs/>
          <w:sz w:val="28"/>
          <w:szCs w:val="28"/>
          <w:lang w:eastAsia="ru-RU"/>
        </w:rPr>
        <w:t xml:space="preserve">ейтинговые агентства появляются в США в начале </w:t>
      </w:r>
      <w:r w:rsidRPr="00133634">
        <w:rPr>
          <w:rFonts w:ascii="Times New Roman" w:hAnsi="Times New Roman"/>
          <w:bCs/>
          <w:sz w:val="28"/>
          <w:szCs w:val="28"/>
          <w:lang w:val="en-US" w:eastAsia="ru-RU"/>
        </w:rPr>
        <w:t>XX</w:t>
      </w:r>
      <w:r>
        <w:rPr>
          <w:rFonts w:ascii="Times New Roman" w:hAnsi="Times New Roman"/>
          <w:bCs/>
          <w:sz w:val="28"/>
          <w:szCs w:val="28"/>
          <w:lang w:eastAsia="ru-RU"/>
        </w:rPr>
        <w:t xml:space="preserve"> века. </w:t>
      </w:r>
      <w:r w:rsidRPr="00133634">
        <w:rPr>
          <w:rFonts w:ascii="Times New Roman" w:hAnsi="Times New Roman"/>
          <w:bCs/>
          <w:sz w:val="28"/>
          <w:szCs w:val="28"/>
          <w:lang w:eastAsia="ru-RU"/>
        </w:rPr>
        <w:t xml:space="preserve">Первым рейтинговым </w:t>
      </w:r>
      <w:r w:rsidRPr="00133634">
        <w:rPr>
          <w:rFonts w:ascii="Times New Roman" w:hAnsi="Times New Roman"/>
          <w:sz w:val="28"/>
          <w:szCs w:val="28"/>
        </w:rPr>
        <w:t xml:space="preserve">агентством стала компания </w:t>
      </w:r>
      <w:r w:rsidRPr="00133634">
        <w:rPr>
          <w:rFonts w:ascii="Times New Roman" w:hAnsi="Times New Roman"/>
          <w:bCs/>
          <w:iCs/>
          <w:sz w:val="28"/>
          <w:szCs w:val="28"/>
        </w:rPr>
        <w:t>Standard</w:t>
      </w:r>
      <w:r w:rsidRPr="00133634">
        <w:rPr>
          <w:rFonts w:ascii="Times New Roman" w:hAnsi="Times New Roman"/>
          <w:sz w:val="28"/>
          <w:szCs w:val="28"/>
        </w:rPr>
        <w:t xml:space="preserve"> &amp; </w:t>
      </w:r>
      <w:r w:rsidRPr="00133634">
        <w:rPr>
          <w:rFonts w:ascii="Times New Roman" w:hAnsi="Times New Roman"/>
          <w:bCs/>
          <w:iCs/>
          <w:sz w:val="28"/>
          <w:szCs w:val="28"/>
        </w:rPr>
        <w:t>Poor's,</w:t>
      </w:r>
      <w:r w:rsidRPr="00133634">
        <w:rPr>
          <w:rFonts w:ascii="Times New Roman" w:hAnsi="Times New Roman"/>
          <w:sz w:val="28"/>
          <w:szCs w:val="28"/>
        </w:rPr>
        <w:t xml:space="preserve"> основанн</w:t>
      </w:r>
      <w:r>
        <w:rPr>
          <w:rFonts w:ascii="Times New Roman" w:hAnsi="Times New Roman"/>
          <w:sz w:val="28"/>
          <w:szCs w:val="28"/>
        </w:rPr>
        <w:t>ая в США в 1861 г. Генри Пуром</w:t>
      </w:r>
      <w:r w:rsidRPr="00133634">
        <w:rPr>
          <w:rFonts w:ascii="Times New Roman" w:hAnsi="Times New Roman"/>
          <w:sz w:val="28"/>
          <w:szCs w:val="28"/>
        </w:rPr>
        <w:t xml:space="preserve">. В 1905–1906 гг. была основана компания </w:t>
      </w:r>
      <w:r w:rsidRPr="00133634">
        <w:rPr>
          <w:rFonts w:ascii="Times New Roman" w:hAnsi="Times New Roman"/>
          <w:bCs/>
          <w:iCs/>
          <w:sz w:val="28"/>
          <w:szCs w:val="28"/>
        </w:rPr>
        <w:t>Moody's,</w:t>
      </w:r>
      <w:r w:rsidRPr="00133634">
        <w:rPr>
          <w:rFonts w:ascii="Times New Roman" w:hAnsi="Times New Roman"/>
          <w:sz w:val="28"/>
          <w:szCs w:val="28"/>
        </w:rPr>
        <w:t xml:space="preserve"> ее основатель Джон Муди (1868–1958) начинал с того, что </w:t>
      </w:r>
      <w:r>
        <w:rPr>
          <w:rFonts w:ascii="Times New Roman" w:hAnsi="Times New Roman"/>
          <w:sz w:val="28"/>
          <w:szCs w:val="28"/>
        </w:rPr>
        <w:t>«</w:t>
      </w:r>
      <w:r w:rsidRPr="00133634">
        <w:rPr>
          <w:rFonts w:ascii="Times New Roman" w:hAnsi="Times New Roman"/>
          <w:sz w:val="28"/>
          <w:szCs w:val="28"/>
        </w:rPr>
        <w:t>присваивал рейтинги облигациям железнодорожных компаний</w:t>
      </w:r>
      <w:bookmarkStart w:id="4" w:name="annot_2"/>
      <w:r w:rsidRPr="00133634">
        <w:rPr>
          <w:rFonts w:ascii="Times New Roman" w:hAnsi="Times New Roman"/>
          <w:sz w:val="28"/>
          <w:szCs w:val="28"/>
          <w:vertAlign w:val="superscript"/>
        </w:rPr>
        <w:fldChar w:fldCharType="begin"/>
      </w:r>
      <w:r w:rsidRPr="00133634">
        <w:rPr>
          <w:rFonts w:ascii="Times New Roman" w:hAnsi="Times New Roman"/>
          <w:sz w:val="28"/>
          <w:szCs w:val="28"/>
          <w:vertAlign w:val="superscript"/>
        </w:rPr>
        <w:instrText xml:space="preserve"> HYPERLINK "http://studme.org/44326/menedzhment/metody_reytingovoy_otsenki_kreditosposobnosti" \l "gads_btm" </w:instrText>
      </w:r>
      <w:r w:rsidRPr="008A2100">
        <w:rPr>
          <w:rFonts w:ascii="Times New Roman" w:hAnsi="Times New Roman"/>
          <w:sz w:val="28"/>
          <w:szCs w:val="28"/>
          <w:vertAlign w:val="superscript"/>
        </w:rPr>
      </w:r>
      <w:r w:rsidRPr="00133634">
        <w:rPr>
          <w:rFonts w:ascii="Times New Roman" w:hAnsi="Times New Roman"/>
          <w:sz w:val="28"/>
          <w:szCs w:val="28"/>
          <w:vertAlign w:val="superscript"/>
        </w:rPr>
        <w:fldChar w:fldCharType="separate"/>
      </w:r>
      <w:r w:rsidRPr="00663B3A">
        <w:rPr>
          <w:rStyle w:val="Hyperlink"/>
        </w:rPr>
        <w:t>http://studme.org/44326/menedzhment/metody_reytingovoy_otsenki_kreditosposobnosti - gads_btm</w:t>
      </w:r>
      <w:r w:rsidRPr="00133634">
        <w:rPr>
          <w:rFonts w:ascii="Times New Roman" w:hAnsi="Times New Roman"/>
          <w:sz w:val="28"/>
          <w:szCs w:val="28"/>
          <w:vertAlign w:val="superscript"/>
        </w:rPr>
        <w:fldChar w:fldCharType="end"/>
      </w:r>
      <w:bookmarkEnd w:id="4"/>
      <w:r w:rsidRPr="00133634">
        <w:rPr>
          <w:rFonts w:ascii="Times New Roman" w:hAnsi="Times New Roman"/>
          <w:sz w:val="28"/>
          <w:szCs w:val="28"/>
        </w:rPr>
        <w:t xml:space="preserve">. Самое молодое агентство </w:t>
      </w:r>
      <w:r>
        <w:rPr>
          <w:rFonts w:ascii="Times New Roman" w:hAnsi="Times New Roman"/>
          <w:sz w:val="28"/>
          <w:szCs w:val="28"/>
        </w:rPr>
        <w:t>(</w:t>
      </w:r>
      <w:r w:rsidRPr="00133634">
        <w:rPr>
          <w:rFonts w:ascii="Times New Roman" w:hAnsi="Times New Roman"/>
          <w:bCs/>
          <w:iCs/>
          <w:sz w:val="28"/>
          <w:szCs w:val="28"/>
        </w:rPr>
        <w:t>Fitch</w:t>
      </w:r>
      <w:r w:rsidRPr="00133634">
        <w:rPr>
          <w:rFonts w:ascii="Times New Roman" w:hAnsi="Times New Roman"/>
          <w:sz w:val="28"/>
          <w:szCs w:val="28"/>
        </w:rPr>
        <w:t xml:space="preserve"> Ratings</w:t>
      </w:r>
      <w:r>
        <w:rPr>
          <w:rFonts w:ascii="Times New Roman" w:hAnsi="Times New Roman"/>
          <w:sz w:val="28"/>
          <w:szCs w:val="28"/>
        </w:rPr>
        <w:t>)</w:t>
      </w:r>
      <w:r w:rsidRPr="00133634">
        <w:rPr>
          <w:rFonts w:ascii="Times New Roman" w:hAnsi="Times New Roman"/>
          <w:sz w:val="28"/>
          <w:szCs w:val="28"/>
        </w:rPr>
        <w:t xml:space="preserve"> было основано Джоном Фитчем в 1913 г. в Нью-Йорке и в первые годы занималось публикацией финансовой статистики, а с 1924 г. начало присваивать кредитные рейтинги.</w:t>
      </w:r>
      <w:r>
        <w:rPr>
          <w:rFonts w:ascii="Times New Roman" w:hAnsi="Times New Roman"/>
          <w:sz w:val="28"/>
          <w:szCs w:val="28"/>
        </w:rPr>
        <w:t xml:space="preserve"> Сейчас рейтинговые оценки этих агентств признаются во всем мире» </w:t>
      </w:r>
      <w:r w:rsidRPr="009976B2">
        <w:rPr>
          <w:rFonts w:ascii="Times New Roman" w:hAnsi="Times New Roman"/>
          <w:sz w:val="28"/>
          <w:szCs w:val="28"/>
        </w:rPr>
        <w:t>[</w:t>
      </w:r>
      <w:r>
        <w:rPr>
          <w:rFonts w:ascii="Times New Roman" w:hAnsi="Times New Roman"/>
          <w:sz w:val="28"/>
          <w:szCs w:val="28"/>
        </w:rPr>
        <w:t>3</w:t>
      </w:r>
      <w:r w:rsidRPr="009976B2">
        <w:rPr>
          <w:rFonts w:ascii="Times New Roman" w:hAnsi="Times New Roman"/>
          <w:sz w:val="28"/>
          <w:szCs w:val="28"/>
        </w:rPr>
        <w:t>]</w:t>
      </w:r>
      <w:r>
        <w:rPr>
          <w:rFonts w:ascii="Times New Roman" w:hAnsi="Times New Roman"/>
          <w:sz w:val="28"/>
          <w:szCs w:val="28"/>
        </w:rPr>
        <w:t>.</w:t>
      </w:r>
    </w:p>
    <w:p w:rsidR="005D7A74" w:rsidRPr="008B6A06" w:rsidRDefault="005D7A74" w:rsidP="008B6A06">
      <w:pPr>
        <w:spacing w:after="0" w:line="360" w:lineRule="auto"/>
        <w:ind w:firstLine="709"/>
        <w:jc w:val="both"/>
        <w:rPr>
          <w:rFonts w:ascii="Times New Roman" w:hAnsi="Times New Roman"/>
          <w:sz w:val="28"/>
          <w:szCs w:val="28"/>
          <w:lang w:eastAsia="ru-RU"/>
        </w:rPr>
      </w:pPr>
      <w:r w:rsidRPr="008B6A06">
        <w:rPr>
          <w:rFonts w:ascii="Times New Roman" w:hAnsi="Times New Roman"/>
          <w:sz w:val="28"/>
          <w:szCs w:val="28"/>
        </w:rPr>
        <w:t xml:space="preserve">Процесс присвоения рейтинговой оценки включает анализ финансовой отчетности, расчет финансовых показателей характеристики качества менеджмента, обзор конкурентных преимуществ и т.д. Например, процесс формирования рейтинга компаний, осуществляемый агентством </w:t>
      </w:r>
      <w:r w:rsidRPr="008B6A06">
        <w:rPr>
          <w:rFonts w:ascii="Times New Roman" w:hAnsi="Times New Roman"/>
          <w:bCs/>
          <w:iCs/>
          <w:sz w:val="28"/>
          <w:szCs w:val="28"/>
          <w:lang w:eastAsia="ru-RU"/>
        </w:rPr>
        <w:t>Moody's</w:t>
      </w:r>
      <w:r w:rsidRPr="008B6A06">
        <w:rPr>
          <w:rFonts w:ascii="Times New Roman" w:hAnsi="Times New Roman"/>
          <w:sz w:val="28"/>
          <w:szCs w:val="28"/>
          <w:lang w:eastAsia="ru-RU"/>
        </w:rPr>
        <w:t>, включает следующие направления: макроэкономический (страновой) анализ, оценку тренда в отрасли, качество менеджмента компании, финансовое положение компании, структуру компании.</w:t>
      </w:r>
    </w:p>
    <w:p w:rsidR="005D7A74" w:rsidRPr="00B5679F" w:rsidRDefault="005D7A74" w:rsidP="006F70E5">
      <w:pPr>
        <w:spacing w:after="0" w:line="360" w:lineRule="auto"/>
        <w:ind w:firstLine="708"/>
        <w:jc w:val="both"/>
        <w:rPr>
          <w:rFonts w:ascii="Times New Roman" w:hAnsi="Times New Roman"/>
          <w:sz w:val="28"/>
          <w:szCs w:val="28"/>
          <w:lang w:eastAsia="ru-RU"/>
        </w:rPr>
      </w:pPr>
      <w:r>
        <w:rPr>
          <w:rFonts w:ascii="Times New Roman" w:hAnsi="Times New Roman"/>
          <w:sz w:val="28"/>
          <w:szCs w:val="28"/>
          <w:lang w:eastAsia="ru-RU"/>
        </w:rPr>
        <w:t>«</w:t>
      </w:r>
      <w:r w:rsidRPr="008B6A06">
        <w:rPr>
          <w:rFonts w:ascii="Times New Roman" w:hAnsi="Times New Roman"/>
          <w:sz w:val="28"/>
          <w:szCs w:val="28"/>
          <w:lang w:eastAsia="ru-RU"/>
        </w:rPr>
        <w:t xml:space="preserve">Процесс рейтингования может длиться от </w:t>
      </w:r>
      <w:r>
        <w:rPr>
          <w:rFonts w:ascii="Times New Roman" w:hAnsi="Times New Roman"/>
          <w:sz w:val="28"/>
          <w:szCs w:val="28"/>
          <w:lang w:eastAsia="ru-RU"/>
        </w:rPr>
        <w:t>4</w:t>
      </w:r>
      <w:r w:rsidRPr="008B6A06">
        <w:rPr>
          <w:rFonts w:ascii="Times New Roman" w:hAnsi="Times New Roman"/>
          <w:sz w:val="28"/>
          <w:szCs w:val="28"/>
          <w:lang w:eastAsia="ru-RU"/>
        </w:rPr>
        <w:t xml:space="preserve"> до </w:t>
      </w:r>
      <w:r>
        <w:rPr>
          <w:rFonts w:ascii="Times New Roman" w:hAnsi="Times New Roman"/>
          <w:sz w:val="28"/>
          <w:szCs w:val="28"/>
          <w:lang w:eastAsia="ru-RU"/>
        </w:rPr>
        <w:t>6</w:t>
      </w:r>
      <w:r w:rsidRPr="008B6A06">
        <w:rPr>
          <w:rFonts w:ascii="Times New Roman" w:hAnsi="Times New Roman"/>
          <w:sz w:val="28"/>
          <w:szCs w:val="28"/>
          <w:lang w:eastAsia="ru-RU"/>
        </w:rPr>
        <w:t xml:space="preserve"> недель</w:t>
      </w:r>
      <w:r w:rsidRPr="00B5679F">
        <w:rPr>
          <w:rFonts w:ascii="Times New Roman" w:hAnsi="Times New Roman"/>
          <w:sz w:val="28"/>
          <w:szCs w:val="28"/>
          <w:lang w:eastAsia="ru-RU"/>
        </w:rPr>
        <w:t xml:space="preserve"> и включает встречи с основными менеджерами анализируемой компании, ознакомление с финансовой отчетностью, финансовыми планами, политикой и стратегией компании. Вся собранная информация обсуждается в рейтинговом комитете вместе с экспертами по данной отрасли, после чего путем голосования вырабатываются рекомендации по установлению рейтинга. Рейтинги, как правило, пересматриваются один раз в год</w:t>
      </w:r>
      <w:r>
        <w:rPr>
          <w:rFonts w:ascii="Times New Roman" w:hAnsi="Times New Roman"/>
          <w:sz w:val="28"/>
          <w:szCs w:val="28"/>
          <w:lang w:eastAsia="ru-RU"/>
        </w:rPr>
        <w:t xml:space="preserve">» </w:t>
      </w:r>
      <w:r w:rsidRPr="00EC33C5">
        <w:rPr>
          <w:rFonts w:ascii="Times New Roman" w:hAnsi="Times New Roman"/>
          <w:sz w:val="28"/>
          <w:szCs w:val="28"/>
          <w:lang w:eastAsia="ru-RU"/>
        </w:rPr>
        <w:t>[</w:t>
      </w:r>
      <w:r>
        <w:rPr>
          <w:rFonts w:ascii="Times New Roman" w:hAnsi="Times New Roman"/>
          <w:sz w:val="28"/>
          <w:szCs w:val="28"/>
          <w:lang w:eastAsia="ru-RU"/>
        </w:rPr>
        <w:t>4</w:t>
      </w:r>
      <w:r w:rsidRPr="00EC33C5">
        <w:rPr>
          <w:rFonts w:ascii="Times New Roman" w:hAnsi="Times New Roman"/>
          <w:sz w:val="28"/>
          <w:szCs w:val="28"/>
          <w:lang w:eastAsia="ru-RU"/>
        </w:rPr>
        <w:t>]</w:t>
      </w:r>
      <w:r w:rsidRPr="00B5679F">
        <w:rPr>
          <w:rFonts w:ascii="Times New Roman" w:hAnsi="Times New Roman"/>
          <w:sz w:val="28"/>
          <w:szCs w:val="28"/>
          <w:lang w:eastAsia="ru-RU"/>
        </w:rPr>
        <w:t>.</w:t>
      </w:r>
    </w:p>
    <w:p w:rsidR="005D7A74" w:rsidRPr="00EC33C5" w:rsidRDefault="005D7A74" w:rsidP="006F70E5">
      <w:pPr>
        <w:spacing w:after="0" w:line="360" w:lineRule="auto"/>
        <w:ind w:firstLine="708"/>
        <w:jc w:val="both"/>
        <w:rPr>
          <w:rFonts w:ascii="Times New Roman" w:hAnsi="Times New Roman"/>
          <w:sz w:val="28"/>
          <w:szCs w:val="28"/>
        </w:rPr>
      </w:pPr>
      <w:r w:rsidRPr="00EC33C5">
        <w:rPr>
          <w:rFonts w:ascii="Times New Roman" w:hAnsi="Times New Roman"/>
          <w:sz w:val="28"/>
          <w:szCs w:val="28"/>
          <w:lang w:eastAsia="ru-RU"/>
        </w:rPr>
        <w:t xml:space="preserve">Каждое агентство имеет свою методологию изучения кредитоспособности, а результаты изучения кредитного риска отражает в общепринятой шкале, например, от </w:t>
      </w:r>
      <w:r w:rsidRPr="00EC33C5">
        <w:rPr>
          <w:rFonts w:ascii="Times New Roman" w:hAnsi="Times New Roman"/>
          <w:bCs/>
          <w:iCs/>
          <w:sz w:val="28"/>
          <w:szCs w:val="28"/>
          <w:lang w:eastAsia="ru-RU"/>
        </w:rPr>
        <w:t>ААА</w:t>
      </w:r>
      <w:r w:rsidRPr="00EC33C5">
        <w:rPr>
          <w:rFonts w:ascii="Times New Roman" w:hAnsi="Times New Roman"/>
          <w:sz w:val="28"/>
          <w:szCs w:val="28"/>
          <w:lang w:eastAsia="ru-RU"/>
        </w:rPr>
        <w:t xml:space="preserve"> до С, где высшая категория обозначается как </w:t>
      </w:r>
      <w:r w:rsidRPr="00EC33C5">
        <w:rPr>
          <w:rFonts w:ascii="Times New Roman" w:hAnsi="Times New Roman"/>
          <w:bCs/>
          <w:iCs/>
          <w:sz w:val="28"/>
          <w:szCs w:val="28"/>
          <w:lang w:eastAsia="ru-RU"/>
        </w:rPr>
        <w:t>А,</w:t>
      </w:r>
      <w:r w:rsidRPr="00EC33C5">
        <w:rPr>
          <w:rFonts w:ascii="Times New Roman" w:hAnsi="Times New Roman"/>
          <w:sz w:val="28"/>
          <w:szCs w:val="28"/>
          <w:lang w:eastAsia="ru-RU"/>
        </w:rPr>
        <w:t xml:space="preserve"> а низшая – </w:t>
      </w:r>
      <w:r w:rsidRPr="00EC33C5">
        <w:rPr>
          <w:rFonts w:ascii="Times New Roman" w:hAnsi="Times New Roman"/>
          <w:bCs/>
          <w:iCs/>
          <w:sz w:val="28"/>
          <w:szCs w:val="28"/>
          <w:lang w:eastAsia="ru-RU"/>
        </w:rPr>
        <w:t>С,</w:t>
      </w:r>
      <w:r w:rsidRPr="00EC33C5">
        <w:rPr>
          <w:rFonts w:ascii="Times New Roman" w:hAnsi="Times New Roman"/>
          <w:sz w:val="28"/>
          <w:szCs w:val="28"/>
          <w:lang w:eastAsia="ru-RU"/>
        </w:rPr>
        <w:t xml:space="preserve"> может также выделяться состояние дефолта – </w:t>
      </w:r>
      <w:r w:rsidRPr="00EC33C5">
        <w:rPr>
          <w:rFonts w:ascii="Times New Roman" w:hAnsi="Times New Roman"/>
          <w:bCs/>
          <w:iCs/>
          <w:sz w:val="28"/>
          <w:szCs w:val="28"/>
          <w:lang w:eastAsia="ru-RU"/>
        </w:rPr>
        <w:t>I</w:t>
      </w:r>
      <w:r w:rsidRPr="00EC33C5">
        <w:rPr>
          <w:rFonts w:ascii="Times New Roman" w:hAnsi="Times New Roman"/>
          <w:sz w:val="28"/>
          <w:szCs w:val="28"/>
          <w:lang w:eastAsia="ru-RU"/>
        </w:rPr>
        <w:t xml:space="preserve">) (выделяется рейтинговым агентством </w:t>
      </w:r>
      <w:r w:rsidRPr="00EC33C5">
        <w:rPr>
          <w:rFonts w:ascii="Times New Roman" w:hAnsi="Times New Roman"/>
          <w:bCs/>
          <w:iCs/>
          <w:sz w:val="28"/>
          <w:szCs w:val="28"/>
          <w:lang w:eastAsia="ru-RU"/>
        </w:rPr>
        <w:t>Standard &amp; Poor's</w:t>
      </w:r>
      <w:r w:rsidRPr="00EC33C5">
        <w:rPr>
          <w:rFonts w:ascii="Times New Roman" w:hAnsi="Times New Roman"/>
          <w:sz w:val="28"/>
          <w:szCs w:val="28"/>
          <w:lang w:eastAsia="ru-RU"/>
        </w:rPr>
        <w:t xml:space="preserve">). В таблице 1 </w:t>
      </w:r>
      <w:r>
        <w:rPr>
          <w:rFonts w:ascii="Times New Roman" w:hAnsi="Times New Roman"/>
          <w:sz w:val="28"/>
          <w:szCs w:val="28"/>
        </w:rPr>
        <w:t>проведено сравнение</w:t>
      </w:r>
      <w:r w:rsidRPr="00EC33C5">
        <w:rPr>
          <w:rFonts w:ascii="Times New Roman" w:hAnsi="Times New Roman"/>
          <w:sz w:val="28"/>
          <w:szCs w:val="28"/>
        </w:rPr>
        <w:t xml:space="preserve"> кредитных рейтингов агентств </w:t>
      </w:r>
      <w:r w:rsidRPr="00EC33C5">
        <w:rPr>
          <w:rFonts w:ascii="Times New Roman" w:hAnsi="Times New Roman"/>
          <w:bCs/>
          <w:iCs/>
          <w:sz w:val="28"/>
          <w:szCs w:val="28"/>
        </w:rPr>
        <w:t>Standard</w:t>
      </w:r>
      <w:r w:rsidRPr="00EC33C5">
        <w:rPr>
          <w:rFonts w:ascii="Times New Roman" w:hAnsi="Times New Roman"/>
          <w:sz w:val="28"/>
          <w:szCs w:val="28"/>
        </w:rPr>
        <w:t xml:space="preserve"> &amp; </w:t>
      </w:r>
      <w:r w:rsidRPr="00EC33C5">
        <w:rPr>
          <w:rFonts w:ascii="Times New Roman" w:hAnsi="Times New Roman"/>
          <w:bCs/>
          <w:iCs/>
          <w:sz w:val="28"/>
          <w:szCs w:val="28"/>
        </w:rPr>
        <w:t>Poor's</w:t>
      </w:r>
      <w:r w:rsidRPr="00EC33C5">
        <w:rPr>
          <w:rFonts w:ascii="Times New Roman" w:hAnsi="Times New Roman"/>
          <w:sz w:val="28"/>
          <w:szCs w:val="28"/>
        </w:rPr>
        <w:t xml:space="preserve"> и </w:t>
      </w:r>
      <w:r w:rsidRPr="00EC33C5">
        <w:rPr>
          <w:rFonts w:ascii="Times New Roman" w:hAnsi="Times New Roman"/>
          <w:bCs/>
          <w:iCs/>
          <w:sz w:val="28"/>
          <w:szCs w:val="28"/>
        </w:rPr>
        <w:t>Moody's</w:t>
      </w:r>
      <w:r>
        <w:rPr>
          <w:rFonts w:ascii="Times New Roman" w:hAnsi="Times New Roman"/>
          <w:bCs/>
          <w:iCs/>
          <w:sz w:val="28"/>
          <w:szCs w:val="28"/>
        </w:rPr>
        <w:t xml:space="preserve"> </w:t>
      </w:r>
      <w:r w:rsidRPr="00EC33C5">
        <w:rPr>
          <w:rFonts w:ascii="Times New Roman" w:hAnsi="Times New Roman"/>
          <w:bCs/>
          <w:iCs/>
          <w:sz w:val="28"/>
          <w:szCs w:val="28"/>
        </w:rPr>
        <w:t>[</w:t>
      </w:r>
      <w:r>
        <w:rPr>
          <w:rFonts w:ascii="Times New Roman" w:hAnsi="Times New Roman"/>
          <w:bCs/>
          <w:iCs/>
          <w:sz w:val="28"/>
          <w:szCs w:val="28"/>
        </w:rPr>
        <w:t>10</w:t>
      </w:r>
      <w:r w:rsidRPr="00EC33C5">
        <w:rPr>
          <w:rFonts w:ascii="Times New Roman" w:hAnsi="Times New Roman"/>
          <w:bCs/>
          <w:iCs/>
          <w:sz w:val="28"/>
          <w:szCs w:val="28"/>
        </w:rPr>
        <w:t>]</w:t>
      </w:r>
      <w:r w:rsidRPr="00EC33C5">
        <w:rPr>
          <w:rFonts w:ascii="Times New Roman" w:hAnsi="Times New Roman"/>
          <w:sz w:val="28"/>
          <w:szCs w:val="28"/>
        </w:rPr>
        <w:t>.</w:t>
      </w:r>
    </w:p>
    <w:p w:rsidR="005D7A74" w:rsidRDefault="005D7A74" w:rsidP="006F70E5">
      <w:pPr>
        <w:spacing w:after="0" w:line="360" w:lineRule="auto"/>
        <w:ind w:firstLine="708"/>
        <w:rPr>
          <w:rFonts w:ascii="Times New Roman" w:hAnsi="Times New Roman"/>
          <w:sz w:val="28"/>
          <w:szCs w:val="28"/>
        </w:rPr>
      </w:pPr>
    </w:p>
    <w:p w:rsidR="005D7A74" w:rsidRDefault="005D7A74" w:rsidP="006F70E5">
      <w:pPr>
        <w:spacing w:after="0" w:line="360" w:lineRule="auto"/>
        <w:ind w:firstLine="708"/>
        <w:rPr>
          <w:rFonts w:ascii="Times New Roman" w:hAnsi="Times New Roman"/>
          <w:bCs/>
          <w:sz w:val="28"/>
          <w:szCs w:val="24"/>
          <w:lang w:eastAsia="ru-RU"/>
        </w:rPr>
      </w:pPr>
      <w:r>
        <w:rPr>
          <w:rFonts w:ascii="Times New Roman" w:hAnsi="Times New Roman"/>
          <w:sz w:val="28"/>
          <w:szCs w:val="28"/>
        </w:rPr>
        <w:t>Таблица 1. Сравнительная характеристика</w:t>
      </w:r>
      <w:r w:rsidRPr="00D47011">
        <w:rPr>
          <w:rFonts w:ascii="Times New Roman" w:hAnsi="Times New Roman"/>
          <w:bCs/>
          <w:sz w:val="28"/>
          <w:szCs w:val="24"/>
          <w:lang w:eastAsia="ru-RU"/>
        </w:rPr>
        <w:t xml:space="preserve"> кредитных рейтингов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104"/>
        <w:gridCol w:w="3091"/>
        <w:gridCol w:w="3091"/>
      </w:tblGrid>
      <w:tr w:rsidR="005D7A74" w:rsidRPr="006C0CCB" w:rsidTr="006C0CCB">
        <w:trPr>
          <w:trHeight w:val="368"/>
        </w:trPr>
        <w:tc>
          <w:tcPr>
            <w:tcW w:w="3104" w:type="dxa"/>
            <w:vMerge w:val="restart"/>
            <w:vAlign w:val="center"/>
          </w:tcPr>
          <w:p w:rsidR="005D7A74" w:rsidRPr="006C0CCB" w:rsidRDefault="005D7A74" w:rsidP="006C0CCB">
            <w:pPr>
              <w:spacing w:after="0" w:line="240" w:lineRule="auto"/>
              <w:jc w:val="center"/>
              <w:rPr>
                <w:rFonts w:ascii="Times New Roman" w:hAnsi="Times New Roman"/>
                <w:bCs/>
                <w:sz w:val="24"/>
                <w:szCs w:val="24"/>
                <w:lang w:eastAsia="ru-RU"/>
              </w:rPr>
            </w:pPr>
            <w:r w:rsidRPr="006C0CCB">
              <w:rPr>
                <w:rFonts w:ascii="Times New Roman" w:hAnsi="Times New Roman"/>
                <w:bCs/>
                <w:sz w:val="24"/>
                <w:szCs w:val="24"/>
                <w:lang w:eastAsia="ru-RU"/>
              </w:rPr>
              <w:t>Типы рейтингов</w:t>
            </w:r>
          </w:p>
        </w:tc>
        <w:tc>
          <w:tcPr>
            <w:tcW w:w="6182" w:type="dxa"/>
            <w:gridSpan w:val="2"/>
            <w:vAlign w:val="center"/>
          </w:tcPr>
          <w:p w:rsidR="005D7A74" w:rsidRPr="006C0CCB" w:rsidRDefault="005D7A74" w:rsidP="006C0CCB">
            <w:pPr>
              <w:spacing w:after="0" w:line="240" w:lineRule="auto"/>
              <w:jc w:val="center"/>
              <w:rPr>
                <w:rFonts w:ascii="Times New Roman" w:hAnsi="Times New Roman"/>
                <w:bCs/>
                <w:sz w:val="24"/>
                <w:szCs w:val="24"/>
                <w:lang w:eastAsia="ru-RU"/>
              </w:rPr>
            </w:pPr>
            <w:r w:rsidRPr="006C0CCB">
              <w:rPr>
                <w:rFonts w:ascii="Times New Roman" w:hAnsi="Times New Roman"/>
                <w:bCs/>
                <w:sz w:val="24"/>
                <w:szCs w:val="24"/>
                <w:lang w:eastAsia="ru-RU"/>
              </w:rPr>
              <w:t>Рейтинговые агентства</w:t>
            </w:r>
          </w:p>
        </w:tc>
      </w:tr>
      <w:tr w:rsidR="005D7A74" w:rsidRPr="006C0CCB" w:rsidTr="006C0CCB">
        <w:trPr>
          <w:trHeight w:val="258"/>
        </w:trPr>
        <w:tc>
          <w:tcPr>
            <w:tcW w:w="3104" w:type="dxa"/>
            <w:vMerge/>
            <w:vAlign w:val="center"/>
          </w:tcPr>
          <w:p w:rsidR="005D7A74" w:rsidRPr="006C0CCB" w:rsidRDefault="005D7A74" w:rsidP="006C0CCB">
            <w:pPr>
              <w:spacing w:after="0" w:line="240" w:lineRule="auto"/>
              <w:jc w:val="center"/>
              <w:rPr>
                <w:rFonts w:ascii="Times New Roman" w:hAnsi="Times New Roman"/>
                <w:bCs/>
                <w:sz w:val="24"/>
                <w:szCs w:val="24"/>
                <w:lang w:eastAsia="ru-RU"/>
              </w:rPr>
            </w:pPr>
          </w:p>
        </w:tc>
        <w:tc>
          <w:tcPr>
            <w:tcW w:w="3091" w:type="dxa"/>
            <w:vAlign w:val="center"/>
          </w:tcPr>
          <w:p w:rsidR="005D7A74" w:rsidRPr="006C0CCB" w:rsidRDefault="005D7A74" w:rsidP="006C0CCB">
            <w:pPr>
              <w:spacing w:after="0" w:line="240" w:lineRule="auto"/>
              <w:jc w:val="center"/>
              <w:rPr>
                <w:rFonts w:ascii="Times New Roman" w:hAnsi="Times New Roman"/>
                <w:sz w:val="24"/>
                <w:szCs w:val="24"/>
                <w:lang w:eastAsia="ru-RU"/>
              </w:rPr>
            </w:pPr>
            <w:r w:rsidRPr="006C0CCB">
              <w:rPr>
                <w:rFonts w:ascii="Times New Roman" w:hAnsi="Times New Roman"/>
                <w:bCs/>
                <w:iCs/>
                <w:sz w:val="24"/>
                <w:szCs w:val="24"/>
                <w:lang w:eastAsia="ru-RU"/>
              </w:rPr>
              <w:t>Standard &amp; Poor's</w:t>
            </w:r>
          </w:p>
        </w:tc>
        <w:tc>
          <w:tcPr>
            <w:tcW w:w="3091" w:type="dxa"/>
            <w:vAlign w:val="center"/>
          </w:tcPr>
          <w:p w:rsidR="005D7A74" w:rsidRPr="006C0CCB" w:rsidRDefault="005D7A74" w:rsidP="006C0CCB">
            <w:pPr>
              <w:spacing w:after="0" w:line="240" w:lineRule="auto"/>
              <w:jc w:val="center"/>
              <w:rPr>
                <w:rFonts w:ascii="Times New Roman" w:hAnsi="Times New Roman"/>
                <w:sz w:val="24"/>
                <w:szCs w:val="24"/>
                <w:lang w:eastAsia="ru-RU"/>
              </w:rPr>
            </w:pPr>
            <w:r w:rsidRPr="006C0CCB">
              <w:rPr>
                <w:rFonts w:ascii="Times New Roman" w:hAnsi="Times New Roman"/>
                <w:bCs/>
                <w:iCs/>
                <w:sz w:val="24"/>
                <w:szCs w:val="24"/>
                <w:lang w:eastAsia="ru-RU"/>
              </w:rPr>
              <w:t>Moody's</w:t>
            </w:r>
          </w:p>
        </w:tc>
      </w:tr>
      <w:tr w:rsidR="005D7A74" w:rsidRPr="006C0CCB" w:rsidTr="006C0CCB">
        <w:trPr>
          <w:trHeight w:val="245"/>
        </w:trPr>
        <w:tc>
          <w:tcPr>
            <w:tcW w:w="9286" w:type="dxa"/>
            <w:gridSpan w:val="3"/>
            <w:vAlign w:val="center"/>
          </w:tcPr>
          <w:p w:rsidR="005D7A74" w:rsidRPr="006C0CCB" w:rsidRDefault="005D7A74" w:rsidP="006C0CCB">
            <w:pPr>
              <w:spacing w:after="0" w:line="240" w:lineRule="auto"/>
              <w:jc w:val="center"/>
              <w:rPr>
                <w:rFonts w:ascii="Times New Roman" w:hAnsi="Times New Roman"/>
                <w:sz w:val="24"/>
                <w:szCs w:val="24"/>
                <w:lang w:eastAsia="ru-RU"/>
              </w:rPr>
            </w:pPr>
            <w:r w:rsidRPr="006C0CCB">
              <w:rPr>
                <w:rFonts w:ascii="Times New Roman" w:hAnsi="Times New Roman"/>
                <w:sz w:val="24"/>
                <w:szCs w:val="24"/>
                <w:lang w:eastAsia="ru-RU"/>
              </w:rPr>
              <w:t>Инвестиционные рейтинги</w:t>
            </w:r>
          </w:p>
        </w:tc>
      </w:tr>
      <w:tr w:rsidR="005D7A74" w:rsidRPr="006C0CCB" w:rsidTr="006C0CCB">
        <w:trPr>
          <w:trHeight w:val="245"/>
        </w:trPr>
        <w:tc>
          <w:tcPr>
            <w:tcW w:w="3104" w:type="dxa"/>
            <w:vAlign w:val="center"/>
          </w:tcPr>
          <w:p w:rsidR="005D7A74" w:rsidRPr="006C0CCB" w:rsidRDefault="005D7A74" w:rsidP="006C0CCB">
            <w:pPr>
              <w:spacing w:after="0" w:line="240" w:lineRule="auto"/>
              <w:rPr>
                <w:rFonts w:ascii="Times New Roman" w:hAnsi="Times New Roman"/>
                <w:sz w:val="24"/>
                <w:szCs w:val="24"/>
                <w:lang w:eastAsia="ru-RU"/>
              </w:rPr>
            </w:pPr>
            <w:r w:rsidRPr="006C0CCB">
              <w:rPr>
                <w:rFonts w:ascii="Times New Roman" w:hAnsi="Times New Roman"/>
                <w:sz w:val="24"/>
                <w:szCs w:val="24"/>
                <w:lang w:eastAsia="ru-RU"/>
              </w:rPr>
              <w:t>Наивысший рейтинг</w:t>
            </w:r>
          </w:p>
        </w:tc>
        <w:tc>
          <w:tcPr>
            <w:tcW w:w="3091" w:type="dxa"/>
            <w:vAlign w:val="center"/>
          </w:tcPr>
          <w:p w:rsidR="005D7A74" w:rsidRPr="006C0CCB" w:rsidRDefault="005D7A74" w:rsidP="006C0CCB">
            <w:pPr>
              <w:spacing w:after="0" w:line="240" w:lineRule="auto"/>
              <w:jc w:val="center"/>
              <w:rPr>
                <w:rFonts w:ascii="Times New Roman" w:hAnsi="Times New Roman"/>
                <w:sz w:val="24"/>
                <w:szCs w:val="24"/>
                <w:lang w:eastAsia="ru-RU"/>
              </w:rPr>
            </w:pPr>
            <w:r w:rsidRPr="006C0CCB">
              <w:rPr>
                <w:rFonts w:ascii="Times New Roman" w:hAnsi="Times New Roman"/>
                <w:bCs/>
                <w:iCs/>
                <w:sz w:val="24"/>
                <w:szCs w:val="24"/>
                <w:lang w:eastAsia="ru-RU"/>
              </w:rPr>
              <w:t>AAA</w:t>
            </w:r>
          </w:p>
        </w:tc>
        <w:tc>
          <w:tcPr>
            <w:tcW w:w="3091" w:type="dxa"/>
            <w:vAlign w:val="center"/>
          </w:tcPr>
          <w:p w:rsidR="005D7A74" w:rsidRPr="006C0CCB" w:rsidRDefault="005D7A74" w:rsidP="006C0CCB">
            <w:pPr>
              <w:spacing w:after="0" w:line="240" w:lineRule="auto"/>
              <w:jc w:val="center"/>
              <w:rPr>
                <w:rFonts w:ascii="Times New Roman" w:hAnsi="Times New Roman"/>
                <w:sz w:val="24"/>
                <w:szCs w:val="24"/>
                <w:lang w:eastAsia="ru-RU"/>
              </w:rPr>
            </w:pPr>
            <w:r w:rsidRPr="006C0CCB">
              <w:rPr>
                <w:rFonts w:ascii="Times New Roman" w:hAnsi="Times New Roman"/>
                <w:bCs/>
                <w:iCs/>
                <w:sz w:val="24"/>
                <w:szCs w:val="24"/>
                <w:lang w:eastAsia="ru-RU"/>
              </w:rPr>
              <w:t>Ааа</w:t>
            </w:r>
          </w:p>
        </w:tc>
      </w:tr>
      <w:tr w:rsidR="005D7A74" w:rsidRPr="006C0CCB" w:rsidTr="006C0CCB">
        <w:trPr>
          <w:trHeight w:val="258"/>
        </w:trPr>
        <w:tc>
          <w:tcPr>
            <w:tcW w:w="3104" w:type="dxa"/>
            <w:vAlign w:val="center"/>
          </w:tcPr>
          <w:p w:rsidR="005D7A74" w:rsidRPr="006C0CCB" w:rsidRDefault="005D7A74" w:rsidP="006C0CCB">
            <w:pPr>
              <w:spacing w:after="0" w:line="240" w:lineRule="auto"/>
              <w:rPr>
                <w:rFonts w:ascii="Times New Roman" w:hAnsi="Times New Roman"/>
                <w:sz w:val="24"/>
                <w:szCs w:val="24"/>
                <w:lang w:eastAsia="ru-RU"/>
              </w:rPr>
            </w:pPr>
            <w:r w:rsidRPr="006C0CCB">
              <w:rPr>
                <w:rFonts w:ascii="Times New Roman" w:hAnsi="Times New Roman"/>
                <w:sz w:val="24"/>
                <w:szCs w:val="24"/>
                <w:lang w:eastAsia="ru-RU"/>
              </w:rPr>
              <w:t>Высокий рейтинг</w:t>
            </w:r>
          </w:p>
        </w:tc>
        <w:tc>
          <w:tcPr>
            <w:tcW w:w="3091" w:type="dxa"/>
            <w:vAlign w:val="center"/>
          </w:tcPr>
          <w:p w:rsidR="005D7A74" w:rsidRPr="006C0CCB" w:rsidRDefault="005D7A74" w:rsidP="006C0CCB">
            <w:pPr>
              <w:spacing w:after="0" w:line="240" w:lineRule="auto"/>
              <w:jc w:val="center"/>
              <w:rPr>
                <w:rFonts w:ascii="Times New Roman" w:hAnsi="Times New Roman"/>
                <w:sz w:val="24"/>
                <w:szCs w:val="24"/>
                <w:lang w:eastAsia="ru-RU"/>
              </w:rPr>
            </w:pPr>
            <w:r w:rsidRPr="006C0CCB">
              <w:rPr>
                <w:rFonts w:ascii="Times New Roman" w:hAnsi="Times New Roman"/>
                <w:bCs/>
                <w:iCs/>
                <w:sz w:val="24"/>
                <w:szCs w:val="24"/>
                <w:lang w:eastAsia="ru-RU"/>
              </w:rPr>
              <w:t>АА</w:t>
            </w:r>
          </w:p>
        </w:tc>
        <w:tc>
          <w:tcPr>
            <w:tcW w:w="3091" w:type="dxa"/>
            <w:vAlign w:val="center"/>
          </w:tcPr>
          <w:p w:rsidR="005D7A74" w:rsidRPr="006C0CCB" w:rsidRDefault="005D7A74" w:rsidP="006C0CCB">
            <w:pPr>
              <w:spacing w:after="0" w:line="240" w:lineRule="auto"/>
              <w:jc w:val="center"/>
              <w:rPr>
                <w:rFonts w:ascii="Times New Roman" w:hAnsi="Times New Roman"/>
                <w:sz w:val="24"/>
                <w:szCs w:val="24"/>
                <w:lang w:eastAsia="ru-RU"/>
              </w:rPr>
            </w:pPr>
            <w:r w:rsidRPr="006C0CCB">
              <w:rPr>
                <w:rFonts w:ascii="Times New Roman" w:hAnsi="Times New Roman"/>
                <w:bCs/>
                <w:iCs/>
                <w:sz w:val="24"/>
                <w:szCs w:val="24"/>
                <w:lang w:eastAsia="ru-RU"/>
              </w:rPr>
              <w:t>Аа</w:t>
            </w:r>
          </w:p>
        </w:tc>
      </w:tr>
      <w:tr w:rsidR="005D7A74" w:rsidRPr="006C0CCB" w:rsidTr="006C0CCB">
        <w:trPr>
          <w:trHeight w:val="245"/>
        </w:trPr>
        <w:tc>
          <w:tcPr>
            <w:tcW w:w="3104" w:type="dxa"/>
            <w:vAlign w:val="center"/>
          </w:tcPr>
          <w:p w:rsidR="005D7A74" w:rsidRPr="006C0CCB" w:rsidRDefault="005D7A74" w:rsidP="006C0CCB">
            <w:pPr>
              <w:spacing w:after="0" w:line="240" w:lineRule="auto"/>
              <w:rPr>
                <w:rFonts w:ascii="Times New Roman" w:hAnsi="Times New Roman"/>
                <w:sz w:val="24"/>
                <w:szCs w:val="24"/>
                <w:lang w:eastAsia="ru-RU"/>
              </w:rPr>
            </w:pPr>
            <w:r w:rsidRPr="006C0CCB">
              <w:rPr>
                <w:rFonts w:ascii="Times New Roman" w:hAnsi="Times New Roman"/>
                <w:sz w:val="24"/>
                <w:szCs w:val="24"/>
                <w:lang w:eastAsia="ru-RU"/>
              </w:rPr>
              <w:t>Выше среднего рейтинга</w:t>
            </w:r>
          </w:p>
        </w:tc>
        <w:tc>
          <w:tcPr>
            <w:tcW w:w="3091" w:type="dxa"/>
            <w:vAlign w:val="center"/>
          </w:tcPr>
          <w:p w:rsidR="005D7A74" w:rsidRPr="006C0CCB" w:rsidRDefault="005D7A74" w:rsidP="006C0CCB">
            <w:pPr>
              <w:spacing w:after="0" w:line="240" w:lineRule="auto"/>
              <w:jc w:val="center"/>
              <w:rPr>
                <w:rFonts w:ascii="Times New Roman" w:hAnsi="Times New Roman"/>
                <w:sz w:val="24"/>
                <w:szCs w:val="24"/>
                <w:lang w:eastAsia="ru-RU"/>
              </w:rPr>
            </w:pPr>
            <w:r w:rsidRPr="006C0CCB">
              <w:rPr>
                <w:rFonts w:ascii="Times New Roman" w:hAnsi="Times New Roman"/>
                <w:bCs/>
                <w:iCs/>
                <w:sz w:val="24"/>
                <w:szCs w:val="24"/>
                <w:lang w:eastAsia="ru-RU"/>
              </w:rPr>
              <w:t>А</w:t>
            </w:r>
          </w:p>
        </w:tc>
        <w:tc>
          <w:tcPr>
            <w:tcW w:w="3091" w:type="dxa"/>
            <w:vAlign w:val="center"/>
          </w:tcPr>
          <w:p w:rsidR="005D7A74" w:rsidRPr="006C0CCB" w:rsidRDefault="005D7A74" w:rsidP="006C0CCB">
            <w:pPr>
              <w:spacing w:after="0" w:line="240" w:lineRule="auto"/>
              <w:jc w:val="center"/>
              <w:rPr>
                <w:rFonts w:ascii="Times New Roman" w:hAnsi="Times New Roman"/>
                <w:sz w:val="24"/>
                <w:szCs w:val="24"/>
                <w:lang w:eastAsia="ru-RU"/>
              </w:rPr>
            </w:pPr>
            <w:r w:rsidRPr="006C0CCB">
              <w:rPr>
                <w:rFonts w:ascii="Times New Roman" w:hAnsi="Times New Roman"/>
                <w:bCs/>
                <w:iCs/>
                <w:sz w:val="24"/>
                <w:szCs w:val="24"/>
                <w:lang w:eastAsia="ru-RU"/>
              </w:rPr>
              <w:t>А</w:t>
            </w:r>
          </w:p>
        </w:tc>
      </w:tr>
      <w:tr w:rsidR="005D7A74" w:rsidRPr="006C0CCB" w:rsidTr="006C0CCB">
        <w:trPr>
          <w:trHeight w:val="245"/>
        </w:trPr>
        <w:tc>
          <w:tcPr>
            <w:tcW w:w="3104" w:type="dxa"/>
            <w:vAlign w:val="center"/>
          </w:tcPr>
          <w:p w:rsidR="005D7A74" w:rsidRPr="006C0CCB" w:rsidRDefault="005D7A74" w:rsidP="006C0CCB">
            <w:pPr>
              <w:spacing w:after="0" w:line="240" w:lineRule="auto"/>
              <w:rPr>
                <w:rFonts w:ascii="Times New Roman" w:hAnsi="Times New Roman"/>
                <w:sz w:val="24"/>
                <w:szCs w:val="24"/>
                <w:lang w:eastAsia="ru-RU"/>
              </w:rPr>
            </w:pPr>
            <w:r w:rsidRPr="006C0CCB">
              <w:rPr>
                <w:rFonts w:ascii="Times New Roman" w:hAnsi="Times New Roman"/>
                <w:sz w:val="24"/>
                <w:szCs w:val="24"/>
                <w:lang w:eastAsia="ru-RU"/>
              </w:rPr>
              <w:t>Средний рейтинг</w:t>
            </w:r>
          </w:p>
        </w:tc>
        <w:tc>
          <w:tcPr>
            <w:tcW w:w="3091" w:type="dxa"/>
            <w:vAlign w:val="center"/>
          </w:tcPr>
          <w:p w:rsidR="005D7A74" w:rsidRPr="006C0CCB" w:rsidRDefault="005D7A74" w:rsidP="006C0CCB">
            <w:pPr>
              <w:spacing w:after="0" w:line="240" w:lineRule="auto"/>
              <w:jc w:val="center"/>
              <w:rPr>
                <w:rFonts w:ascii="Times New Roman" w:hAnsi="Times New Roman"/>
                <w:sz w:val="24"/>
                <w:szCs w:val="24"/>
                <w:lang w:eastAsia="ru-RU"/>
              </w:rPr>
            </w:pPr>
            <w:r w:rsidRPr="006C0CCB">
              <w:rPr>
                <w:rFonts w:ascii="Times New Roman" w:hAnsi="Times New Roman"/>
                <w:bCs/>
                <w:iCs/>
                <w:sz w:val="24"/>
                <w:szCs w:val="24"/>
                <w:lang w:eastAsia="ru-RU"/>
              </w:rPr>
              <w:t>ВВВ</w:t>
            </w:r>
          </w:p>
        </w:tc>
        <w:tc>
          <w:tcPr>
            <w:tcW w:w="3091" w:type="dxa"/>
            <w:vAlign w:val="center"/>
          </w:tcPr>
          <w:p w:rsidR="005D7A74" w:rsidRPr="006C0CCB" w:rsidRDefault="005D7A74" w:rsidP="006C0CCB">
            <w:pPr>
              <w:spacing w:after="0" w:line="240" w:lineRule="auto"/>
              <w:jc w:val="center"/>
              <w:rPr>
                <w:rFonts w:ascii="Times New Roman" w:hAnsi="Times New Roman"/>
                <w:sz w:val="24"/>
                <w:szCs w:val="24"/>
                <w:lang w:eastAsia="ru-RU"/>
              </w:rPr>
            </w:pPr>
            <w:r w:rsidRPr="006C0CCB">
              <w:rPr>
                <w:rFonts w:ascii="Times New Roman" w:hAnsi="Times New Roman"/>
                <w:bCs/>
                <w:iCs/>
                <w:sz w:val="24"/>
                <w:szCs w:val="24"/>
                <w:lang w:eastAsia="ru-RU"/>
              </w:rPr>
              <w:t>Ваа</w:t>
            </w:r>
          </w:p>
        </w:tc>
      </w:tr>
      <w:tr w:rsidR="005D7A74" w:rsidRPr="006C0CCB" w:rsidTr="006C0CCB">
        <w:trPr>
          <w:trHeight w:val="245"/>
        </w:trPr>
        <w:tc>
          <w:tcPr>
            <w:tcW w:w="9286" w:type="dxa"/>
            <w:gridSpan w:val="3"/>
            <w:vAlign w:val="center"/>
          </w:tcPr>
          <w:p w:rsidR="005D7A74" w:rsidRPr="006C0CCB" w:rsidRDefault="005D7A74" w:rsidP="006C0CCB">
            <w:pPr>
              <w:spacing w:after="0" w:line="240" w:lineRule="auto"/>
              <w:jc w:val="center"/>
              <w:rPr>
                <w:rFonts w:ascii="Times New Roman" w:hAnsi="Times New Roman"/>
                <w:sz w:val="24"/>
                <w:szCs w:val="24"/>
                <w:lang w:eastAsia="ru-RU"/>
              </w:rPr>
            </w:pPr>
            <w:r w:rsidRPr="006C0CCB">
              <w:rPr>
                <w:rFonts w:ascii="Times New Roman" w:hAnsi="Times New Roman"/>
                <w:sz w:val="24"/>
                <w:szCs w:val="24"/>
                <w:lang w:eastAsia="ru-RU"/>
              </w:rPr>
              <w:t>Спекулятивные рейтинги</w:t>
            </w:r>
          </w:p>
        </w:tc>
      </w:tr>
      <w:tr w:rsidR="005D7A74" w:rsidRPr="006C0CCB" w:rsidTr="006C0CCB">
        <w:trPr>
          <w:trHeight w:val="245"/>
        </w:trPr>
        <w:tc>
          <w:tcPr>
            <w:tcW w:w="3104" w:type="dxa"/>
            <w:vAlign w:val="center"/>
          </w:tcPr>
          <w:p w:rsidR="005D7A74" w:rsidRPr="006C0CCB" w:rsidRDefault="005D7A74" w:rsidP="006C0CCB">
            <w:pPr>
              <w:spacing w:after="0" w:line="240" w:lineRule="auto"/>
              <w:rPr>
                <w:rFonts w:ascii="Times New Roman" w:hAnsi="Times New Roman"/>
                <w:sz w:val="24"/>
                <w:szCs w:val="24"/>
                <w:lang w:eastAsia="ru-RU"/>
              </w:rPr>
            </w:pPr>
            <w:r w:rsidRPr="006C0CCB">
              <w:rPr>
                <w:rFonts w:ascii="Times New Roman" w:hAnsi="Times New Roman"/>
                <w:sz w:val="24"/>
                <w:szCs w:val="24"/>
                <w:lang w:eastAsia="ru-RU"/>
              </w:rPr>
              <w:t>Ниже среднего рейтинга</w:t>
            </w:r>
          </w:p>
        </w:tc>
        <w:tc>
          <w:tcPr>
            <w:tcW w:w="3091" w:type="dxa"/>
            <w:vAlign w:val="center"/>
          </w:tcPr>
          <w:p w:rsidR="005D7A74" w:rsidRPr="006C0CCB" w:rsidRDefault="005D7A74" w:rsidP="006C0CCB">
            <w:pPr>
              <w:spacing w:after="0" w:line="240" w:lineRule="auto"/>
              <w:jc w:val="center"/>
              <w:rPr>
                <w:rFonts w:ascii="Times New Roman" w:hAnsi="Times New Roman"/>
                <w:sz w:val="24"/>
                <w:szCs w:val="24"/>
                <w:lang w:eastAsia="ru-RU"/>
              </w:rPr>
            </w:pPr>
            <w:r w:rsidRPr="006C0CCB">
              <w:rPr>
                <w:rFonts w:ascii="Times New Roman" w:hAnsi="Times New Roman"/>
                <w:bCs/>
                <w:iCs/>
                <w:sz w:val="24"/>
                <w:szCs w:val="24"/>
                <w:lang w:eastAsia="ru-RU"/>
              </w:rPr>
              <w:t>ВВ</w:t>
            </w:r>
          </w:p>
        </w:tc>
        <w:tc>
          <w:tcPr>
            <w:tcW w:w="3091" w:type="dxa"/>
            <w:vAlign w:val="center"/>
          </w:tcPr>
          <w:p w:rsidR="005D7A74" w:rsidRPr="006C0CCB" w:rsidRDefault="005D7A74" w:rsidP="006C0CCB">
            <w:pPr>
              <w:spacing w:after="0" w:line="240" w:lineRule="auto"/>
              <w:jc w:val="center"/>
              <w:rPr>
                <w:rFonts w:ascii="Times New Roman" w:hAnsi="Times New Roman"/>
                <w:sz w:val="24"/>
                <w:szCs w:val="24"/>
                <w:lang w:eastAsia="ru-RU"/>
              </w:rPr>
            </w:pPr>
            <w:r w:rsidRPr="006C0CCB">
              <w:rPr>
                <w:rFonts w:ascii="Times New Roman" w:hAnsi="Times New Roman"/>
                <w:bCs/>
                <w:iCs/>
                <w:sz w:val="24"/>
                <w:szCs w:val="24"/>
                <w:lang w:eastAsia="ru-RU"/>
              </w:rPr>
              <w:t>Ва</w:t>
            </w:r>
          </w:p>
        </w:tc>
      </w:tr>
      <w:tr w:rsidR="005D7A74" w:rsidRPr="006C0CCB" w:rsidTr="006C0CCB">
        <w:trPr>
          <w:trHeight w:val="245"/>
        </w:trPr>
        <w:tc>
          <w:tcPr>
            <w:tcW w:w="3104" w:type="dxa"/>
            <w:vAlign w:val="center"/>
          </w:tcPr>
          <w:p w:rsidR="005D7A74" w:rsidRPr="006C0CCB" w:rsidRDefault="005D7A74" w:rsidP="006C0CCB">
            <w:pPr>
              <w:spacing w:after="0" w:line="240" w:lineRule="auto"/>
              <w:rPr>
                <w:rFonts w:ascii="Times New Roman" w:hAnsi="Times New Roman"/>
                <w:sz w:val="24"/>
                <w:szCs w:val="24"/>
                <w:lang w:eastAsia="ru-RU"/>
              </w:rPr>
            </w:pPr>
            <w:r w:rsidRPr="006C0CCB">
              <w:rPr>
                <w:rFonts w:ascii="Times New Roman" w:hAnsi="Times New Roman"/>
                <w:sz w:val="24"/>
                <w:szCs w:val="24"/>
                <w:lang w:eastAsia="ru-RU"/>
              </w:rPr>
              <w:t>Спекулятивный</w:t>
            </w:r>
          </w:p>
        </w:tc>
        <w:tc>
          <w:tcPr>
            <w:tcW w:w="3091" w:type="dxa"/>
            <w:vAlign w:val="center"/>
          </w:tcPr>
          <w:p w:rsidR="005D7A74" w:rsidRPr="006C0CCB" w:rsidRDefault="005D7A74" w:rsidP="006C0CCB">
            <w:pPr>
              <w:spacing w:after="0" w:line="240" w:lineRule="auto"/>
              <w:jc w:val="center"/>
              <w:rPr>
                <w:rFonts w:ascii="Times New Roman" w:hAnsi="Times New Roman"/>
                <w:sz w:val="24"/>
                <w:szCs w:val="24"/>
                <w:lang w:eastAsia="ru-RU"/>
              </w:rPr>
            </w:pPr>
            <w:r w:rsidRPr="006C0CCB">
              <w:rPr>
                <w:rFonts w:ascii="Times New Roman" w:hAnsi="Times New Roman"/>
                <w:bCs/>
                <w:iCs/>
                <w:sz w:val="24"/>
                <w:szCs w:val="24"/>
                <w:lang w:eastAsia="ru-RU"/>
              </w:rPr>
              <w:t>В</w:t>
            </w:r>
          </w:p>
        </w:tc>
        <w:tc>
          <w:tcPr>
            <w:tcW w:w="3091" w:type="dxa"/>
            <w:vAlign w:val="center"/>
          </w:tcPr>
          <w:p w:rsidR="005D7A74" w:rsidRPr="006C0CCB" w:rsidRDefault="005D7A74" w:rsidP="006C0CCB">
            <w:pPr>
              <w:spacing w:after="0" w:line="240" w:lineRule="auto"/>
              <w:jc w:val="center"/>
              <w:rPr>
                <w:rFonts w:ascii="Times New Roman" w:hAnsi="Times New Roman"/>
                <w:sz w:val="24"/>
                <w:szCs w:val="24"/>
                <w:lang w:eastAsia="ru-RU"/>
              </w:rPr>
            </w:pPr>
            <w:r w:rsidRPr="006C0CCB">
              <w:rPr>
                <w:rFonts w:ascii="Times New Roman" w:hAnsi="Times New Roman"/>
                <w:bCs/>
                <w:iCs/>
                <w:sz w:val="24"/>
                <w:szCs w:val="24"/>
                <w:lang w:eastAsia="ru-RU"/>
              </w:rPr>
              <w:t>В</w:t>
            </w:r>
          </w:p>
        </w:tc>
      </w:tr>
      <w:tr w:rsidR="005D7A74" w:rsidRPr="006C0CCB" w:rsidTr="006C0CCB">
        <w:trPr>
          <w:trHeight w:val="245"/>
        </w:trPr>
        <w:tc>
          <w:tcPr>
            <w:tcW w:w="3104" w:type="dxa"/>
            <w:vAlign w:val="center"/>
          </w:tcPr>
          <w:p w:rsidR="005D7A74" w:rsidRPr="006C0CCB" w:rsidRDefault="005D7A74" w:rsidP="006C0CCB">
            <w:pPr>
              <w:spacing w:after="0" w:line="240" w:lineRule="auto"/>
              <w:rPr>
                <w:rFonts w:ascii="Times New Roman" w:hAnsi="Times New Roman"/>
                <w:sz w:val="24"/>
                <w:szCs w:val="24"/>
                <w:lang w:eastAsia="ru-RU"/>
              </w:rPr>
            </w:pPr>
            <w:r w:rsidRPr="006C0CCB">
              <w:rPr>
                <w:rFonts w:ascii="Times New Roman" w:hAnsi="Times New Roman"/>
                <w:sz w:val="24"/>
                <w:szCs w:val="24"/>
                <w:lang w:eastAsia="ru-RU"/>
              </w:rPr>
              <w:t>Среднеспекулятивный</w:t>
            </w:r>
          </w:p>
        </w:tc>
        <w:tc>
          <w:tcPr>
            <w:tcW w:w="3091" w:type="dxa"/>
            <w:vAlign w:val="center"/>
          </w:tcPr>
          <w:p w:rsidR="005D7A74" w:rsidRPr="006C0CCB" w:rsidRDefault="005D7A74" w:rsidP="006C0CCB">
            <w:pPr>
              <w:spacing w:after="0" w:line="240" w:lineRule="auto"/>
              <w:jc w:val="center"/>
              <w:rPr>
                <w:rFonts w:ascii="Times New Roman" w:hAnsi="Times New Roman"/>
                <w:sz w:val="24"/>
                <w:szCs w:val="24"/>
                <w:lang w:eastAsia="ru-RU"/>
              </w:rPr>
            </w:pPr>
            <w:r w:rsidRPr="006C0CCB">
              <w:rPr>
                <w:rFonts w:ascii="Times New Roman" w:hAnsi="Times New Roman"/>
                <w:bCs/>
                <w:iCs/>
                <w:sz w:val="24"/>
                <w:szCs w:val="24"/>
                <w:lang w:eastAsia="ru-RU"/>
              </w:rPr>
              <w:t>ССС</w:t>
            </w:r>
          </w:p>
        </w:tc>
        <w:tc>
          <w:tcPr>
            <w:tcW w:w="3091" w:type="dxa"/>
            <w:vAlign w:val="center"/>
          </w:tcPr>
          <w:p w:rsidR="005D7A74" w:rsidRPr="006C0CCB" w:rsidRDefault="005D7A74" w:rsidP="006C0CCB">
            <w:pPr>
              <w:spacing w:after="0" w:line="240" w:lineRule="auto"/>
              <w:jc w:val="center"/>
              <w:rPr>
                <w:rFonts w:ascii="Times New Roman" w:hAnsi="Times New Roman"/>
                <w:sz w:val="24"/>
                <w:szCs w:val="24"/>
                <w:lang w:eastAsia="ru-RU"/>
              </w:rPr>
            </w:pPr>
            <w:r w:rsidRPr="006C0CCB">
              <w:rPr>
                <w:rFonts w:ascii="Times New Roman" w:hAnsi="Times New Roman"/>
                <w:bCs/>
                <w:iCs/>
                <w:sz w:val="24"/>
                <w:szCs w:val="24"/>
                <w:lang w:eastAsia="ru-RU"/>
              </w:rPr>
              <w:t>Саа</w:t>
            </w:r>
          </w:p>
        </w:tc>
      </w:tr>
      <w:tr w:rsidR="005D7A74" w:rsidRPr="006C0CCB" w:rsidTr="006C0CCB">
        <w:trPr>
          <w:trHeight w:val="245"/>
        </w:trPr>
        <w:tc>
          <w:tcPr>
            <w:tcW w:w="3104" w:type="dxa"/>
            <w:vAlign w:val="center"/>
          </w:tcPr>
          <w:p w:rsidR="005D7A74" w:rsidRPr="006C0CCB" w:rsidRDefault="005D7A74" w:rsidP="006C0CCB">
            <w:pPr>
              <w:spacing w:after="0" w:line="240" w:lineRule="auto"/>
              <w:rPr>
                <w:rFonts w:ascii="Times New Roman" w:hAnsi="Times New Roman"/>
                <w:sz w:val="24"/>
                <w:szCs w:val="24"/>
                <w:lang w:eastAsia="ru-RU"/>
              </w:rPr>
            </w:pPr>
            <w:r w:rsidRPr="006C0CCB">
              <w:rPr>
                <w:rFonts w:ascii="Times New Roman" w:hAnsi="Times New Roman"/>
                <w:sz w:val="24"/>
                <w:szCs w:val="24"/>
                <w:lang w:eastAsia="ru-RU"/>
              </w:rPr>
              <w:t>Высокоспекулятивный</w:t>
            </w:r>
          </w:p>
        </w:tc>
        <w:tc>
          <w:tcPr>
            <w:tcW w:w="3091" w:type="dxa"/>
            <w:vAlign w:val="center"/>
          </w:tcPr>
          <w:p w:rsidR="005D7A74" w:rsidRPr="006C0CCB" w:rsidRDefault="005D7A74" w:rsidP="006C0CCB">
            <w:pPr>
              <w:spacing w:after="0" w:line="240" w:lineRule="auto"/>
              <w:jc w:val="center"/>
              <w:rPr>
                <w:rFonts w:ascii="Times New Roman" w:hAnsi="Times New Roman"/>
                <w:sz w:val="24"/>
                <w:szCs w:val="24"/>
                <w:lang w:eastAsia="ru-RU"/>
              </w:rPr>
            </w:pPr>
            <w:r w:rsidRPr="006C0CCB">
              <w:rPr>
                <w:rFonts w:ascii="Times New Roman" w:hAnsi="Times New Roman"/>
                <w:bCs/>
                <w:iCs/>
                <w:sz w:val="24"/>
                <w:szCs w:val="24"/>
                <w:lang w:eastAsia="ru-RU"/>
              </w:rPr>
              <w:t>СС</w:t>
            </w:r>
          </w:p>
        </w:tc>
        <w:tc>
          <w:tcPr>
            <w:tcW w:w="3091" w:type="dxa"/>
            <w:vAlign w:val="center"/>
          </w:tcPr>
          <w:p w:rsidR="005D7A74" w:rsidRPr="006C0CCB" w:rsidRDefault="005D7A74" w:rsidP="006C0CCB">
            <w:pPr>
              <w:spacing w:after="0" w:line="240" w:lineRule="auto"/>
              <w:jc w:val="center"/>
              <w:rPr>
                <w:rFonts w:ascii="Times New Roman" w:hAnsi="Times New Roman"/>
                <w:sz w:val="24"/>
                <w:szCs w:val="24"/>
                <w:lang w:eastAsia="ru-RU"/>
              </w:rPr>
            </w:pPr>
            <w:r w:rsidRPr="006C0CCB">
              <w:rPr>
                <w:rFonts w:ascii="Times New Roman" w:hAnsi="Times New Roman"/>
                <w:bCs/>
                <w:iCs/>
                <w:sz w:val="24"/>
                <w:szCs w:val="24"/>
                <w:lang w:eastAsia="ru-RU"/>
              </w:rPr>
              <w:t>Са</w:t>
            </w:r>
          </w:p>
        </w:tc>
      </w:tr>
      <w:tr w:rsidR="005D7A74" w:rsidRPr="006C0CCB" w:rsidTr="006C0CCB">
        <w:trPr>
          <w:trHeight w:val="245"/>
        </w:trPr>
        <w:tc>
          <w:tcPr>
            <w:tcW w:w="3104" w:type="dxa"/>
            <w:vAlign w:val="center"/>
          </w:tcPr>
          <w:p w:rsidR="005D7A74" w:rsidRPr="006C0CCB" w:rsidRDefault="005D7A74" w:rsidP="006C0CCB">
            <w:pPr>
              <w:spacing w:after="0" w:line="240" w:lineRule="auto"/>
              <w:rPr>
                <w:rFonts w:ascii="Times New Roman" w:hAnsi="Times New Roman"/>
                <w:sz w:val="24"/>
                <w:szCs w:val="24"/>
                <w:lang w:eastAsia="ru-RU"/>
              </w:rPr>
            </w:pPr>
            <w:r w:rsidRPr="006C0CCB">
              <w:rPr>
                <w:rFonts w:ascii="Times New Roman" w:hAnsi="Times New Roman"/>
                <w:sz w:val="24"/>
                <w:szCs w:val="24"/>
                <w:lang w:eastAsia="ru-RU"/>
              </w:rPr>
              <w:t>Низшее качество</w:t>
            </w:r>
          </w:p>
        </w:tc>
        <w:tc>
          <w:tcPr>
            <w:tcW w:w="3091" w:type="dxa"/>
            <w:vAlign w:val="center"/>
          </w:tcPr>
          <w:p w:rsidR="005D7A74" w:rsidRPr="006C0CCB" w:rsidRDefault="005D7A74" w:rsidP="006C0CCB">
            <w:pPr>
              <w:spacing w:after="0" w:line="240" w:lineRule="auto"/>
              <w:jc w:val="center"/>
              <w:rPr>
                <w:rFonts w:ascii="Times New Roman" w:hAnsi="Times New Roman"/>
                <w:sz w:val="24"/>
                <w:szCs w:val="24"/>
                <w:lang w:eastAsia="ru-RU"/>
              </w:rPr>
            </w:pPr>
            <w:r w:rsidRPr="006C0CCB">
              <w:rPr>
                <w:rFonts w:ascii="Times New Roman" w:hAnsi="Times New Roman"/>
                <w:bCs/>
                <w:iCs/>
                <w:sz w:val="24"/>
                <w:szCs w:val="24"/>
                <w:lang w:eastAsia="ru-RU"/>
              </w:rPr>
              <w:t>С</w:t>
            </w:r>
          </w:p>
        </w:tc>
        <w:tc>
          <w:tcPr>
            <w:tcW w:w="3091" w:type="dxa"/>
            <w:vAlign w:val="center"/>
          </w:tcPr>
          <w:p w:rsidR="005D7A74" w:rsidRPr="006C0CCB" w:rsidRDefault="005D7A74" w:rsidP="006C0CCB">
            <w:pPr>
              <w:spacing w:after="0" w:line="240" w:lineRule="auto"/>
              <w:jc w:val="center"/>
              <w:rPr>
                <w:rFonts w:ascii="Times New Roman" w:hAnsi="Times New Roman"/>
                <w:sz w:val="24"/>
                <w:szCs w:val="24"/>
                <w:lang w:eastAsia="ru-RU"/>
              </w:rPr>
            </w:pPr>
            <w:r w:rsidRPr="006C0CCB">
              <w:rPr>
                <w:rFonts w:ascii="Times New Roman" w:hAnsi="Times New Roman"/>
                <w:bCs/>
                <w:iCs/>
                <w:sz w:val="24"/>
                <w:szCs w:val="24"/>
                <w:lang w:eastAsia="ru-RU"/>
              </w:rPr>
              <w:t>с</w:t>
            </w:r>
          </w:p>
        </w:tc>
      </w:tr>
      <w:tr w:rsidR="005D7A74" w:rsidRPr="006C0CCB" w:rsidTr="006C0CCB">
        <w:trPr>
          <w:trHeight w:val="245"/>
        </w:trPr>
        <w:tc>
          <w:tcPr>
            <w:tcW w:w="3104" w:type="dxa"/>
            <w:vAlign w:val="center"/>
          </w:tcPr>
          <w:p w:rsidR="005D7A74" w:rsidRPr="006C0CCB" w:rsidRDefault="005D7A74" w:rsidP="006C0CCB">
            <w:pPr>
              <w:spacing w:after="0" w:line="240" w:lineRule="auto"/>
              <w:rPr>
                <w:rFonts w:ascii="Times New Roman" w:hAnsi="Times New Roman"/>
                <w:sz w:val="24"/>
                <w:szCs w:val="24"/>
                <w:lang w:eastAsia="ru-RU"/>
              </w:rPr>
            </w:pPr>
            <w:r w:rsidRPr="006C0CCB">
              <w:rPr>
                <w:rFonts w:ascii="Times New Roman" w:hAnsi="Times New Roman"/>
                <w:sz w:val="24"/>
                <w:szCs w:val="24"/>
                <w:lang w:eastAsia="ru-RU"/>
              </w:rPr>
              <w:t>Дефолт</w:t>
            </w:r>
          </w:p>
        </w:tc>
        <w:tc>
          <w:tcPr>
            <w:tcW w:w="3091" w:type="dxa"/>
            <w:vAlign w:val="center"/>
          </w:tcPr>
          <w:p w:rsidR="005D7A74" w:rsidRPr="006C0CCB" w:rsidRDefault="005D7A74" w:rsidP="006C0CCB">
            <w:pPr>
              <w:spacing w:after="0" w:line="240" w:lineRule="auto"/>
              <w:jc w:val="center"/>
              <w:rPr>
                <w:rFonts w:ascii="Times New Roman" w:hAnsi="Times New Roman"/>
                <w:sz w:val="24"/>
                <w:szCs w:val="24"/>
                <w:lang w:eastAsia="ru-RU"/>
              </w:rPr>
            </w:pPr>
            <w:r w:rsidRPr="006C0CCB">
              <w:rPr>
                <w:rFonts w:ascii="Times New Roman" w:hAnsi="Times New Roman"/>
                <w:bCs/>
                <w:iCs/>
                <w:sz w:val="24"/>
                <w:szCs w:val="24"/>
                <w:lang w:eastAsia="ru-RU"/>
              </w:rPr>
              <w:t>D</w:t>
            </w:r>
          </w:p>
        </w:tc>
        <w:tc>
          <w:tcPr>
            <w:tcW w:w="3091" w:type="dxa"/>
            <w:vAlign w:val="center"/>
          </w:tcPr>
          <w:p w:rsidR="005D7A74" w:rsidRPr="006C0CCB" w:rsidRDefault="005D7A74" w:rsidP="006C0CCB">
            <w:pPr>
              <w:spacing w:after="0" w:line="240" w:lineRule="auto"/>
              <w:jc w:val="center"/>
              <w:rPr>
                <w:rFonts w:ascii="Times New Roman" w:hAnsi="Times New Roman"/>
                <w:sz w:val="24"/>
                <w:szCs w:val="24"/>
                <w:lang w:eastAsia="ru-RU"/>
              </w:rPr>
            </w:pPr>
            <w:r w:rsidRPr="006C0CCB">
              <w:rPr>
                <w:rFonts w:ascii="Times New Roman" w:hAnsi="Times New Roman"/>
                <w:bCs/>
                <w:iCs/>
                <w:sz w:val="24"/>
                <w:szCs w:val="24"/>
                <w:lang w:eastAsia="ru-RU"/>
              </w:rPr>
              <w:t>-</w:t>
            </w:r>
          </w:p>
        </w:tc>
      </w:tr>
    </w:tbl>
    <w:p w:rsidR="005D7A74" w:rsidRPr="008B6A06" w:rsidRDefault="005D7A74" w:rsidP="006F70E5">
      <w:pPr>
        <w:spacing w:after="0" w:line="360" w:lineRule="auto"/>
        <w:jc w:val="both"/>
        <w:rPr>
          <w:rFonts w:ascii="Times New Roman" w:hAnsi="Times New Roman"/>
          <w:bCs/>
          <w:sz w:val="24"/>
          <w:szCs w:val="24"/>
          <w:lang w:eastAsia="ru-RU"/>
        </w:rPr>
      </w:pPr>
    </w:p>
    <w:p w:rsidR="005D7A74" w:rsidRDefault="005D7A74" w:rsidP="008B6A06">
      <w:pPr>
        <w:spacing w:after="0" w:line="360" w:lineRule="auto"/>
        <w:ind w:firstLine="708"/>
        <w:jc w:val="both"/>
        <w:rPr>
          <w:rFonts w:ascii="Times New Roman" w:hAnsi="Times New Roman"/>
          <w:bCs/>
          <w:sz w:val="28"/>
          <w:szCs w:val="28"/>
          <w:lang w:eastAsia="ru-RU"/>
        </w:rPr>
      </w:pPr>
      <w:r w:rsidRPr="0003320A">
        <w:rPr>
          <w:rFonts w:ascii="Times New Roman" w:hAnsi="Times New Roman"/>
          <w:bCs/>
          <w:sz w:val="28"/>
          <w:szCs w:val="28"/>
          <w:lang w:eastAsia="ru-RU"/>
        </w:rPr>
        <w:t xml:space="preserve">Компаниям, имеющим рейтинг от АА до В, могут присваиваться значения </w:t>
      </w:r>
      <w:r>
        <w:rPr>
          <w:rFonts w:ascii="Times New Roman" w:hAnsi="Times New Roman"/>
          <w:bCs/>
          <w:sz w:val="28"/>
          <w:szCs w:val="28"/>
          <w:lang w:eastAsia="ru-RU"/>
        </w:rPr>
        <w:t>«</w:t>
      </w:r>
      <w:r w:rsidRPr="0003320A">
        <w:rPr>
          <w:rFonts w:ascii="Times New Roman" w:hAnsi="Times New Roman"/>
          <w:bCs/>
          <w:sz w:val="28"/>
          <w:szCs w:val="28"/>
          <w:lang w:eastAsia="ru-RU"/>
        </w:rPr>
        <w:t>+</w:t>
      </w:r>
      <w:r>
        <w:rPr>
          <w:rFonts w:ascii="Times New Roman" w:hAnsi="Times New Roman"/>
          <w:bCs/>
          <w:sz w:val="28"/>
          <w:szCs w:val="28"/>
          <w:lang w:eastAsia="ru-RU"/>
        </w:rPr>
        <w:t>»</w:t>
      </w:r>
      <w:r w:rsidRPr="0003320A">
        <w:rPr>
          <w:rFonts w:ascii="Times New Roman" w:hAnsi="Times New Roman"/>
          <w:bCs/>
          <w:sz w:val="28"/>
          <w:szCs w:val="28"/>
          <w:lang w:eastAsia="ru-RU"/>
        </w:rPr>
        <w:t xml:space="preserve"> или </w:t>
      </w:r>
      <w:r>
        <w:rPr>
          <w:rFonts w:ascii="Times New Roman" w:hAnsi="Times New Roman"/>
          <w:bCs/>
          <w:sz w:val="28"/>
          <w:szCs w:val="28"/>
          <w:lang w:eastAsia="ru-RU"/>
        </w:rPr>
        <w:t>«</w:t>
      </w:r>
      <w:r w:rsidRPr="0003320A">
        <w:rPr>
          <w:rFonts w:ascii="Times New Roman" w:hAnsi="Times New Roman"/>
          <w:bCs/>
          <w:sz w:val="28"/>
          <w:szCs w:val="28"/>
          <w:lang w:eastAsia="ru-RU"/>
        </w:rPr>
        <w:t>-</w:t>
      </w:r>
      <w:r>
        <w:rPr>
          <w:rFonts w:ascii="Times New Roman" w:hAnsi="Times New Roman"/>
          <w:bCs/>
          <w:sz w:val="28"/>
          <w:szCs w:val="28"/>
          <w:lang w:eastAsia="ru-RU"/>
        </w:rPr>
        <w:t>»</w:t>
      </w:r>
      <w:r w:rsidRPr="0003320A">
        <w:rPr>
          <w:rFonts w:ascii="Times New Roman" w:hAnsi="Times New Roman"/>
          <w:bCs/>
          <w:sz w:val="28"/>
          <w:szCs w:val="28"/>
          <w:lang w:eastAsia="ru-RU"/>
        </w:rPr>
        <w:t>. Так, компания с рейтингом ВВ+ будет котироваться выше, чем компания с рейтингом ВВ и т.д.</w:t>
      </w:r>
      <w:r>
        <w:rPr>
          <w:rFonts w:ascii="Times New Roman" w:hAnsi="Times New Roman"/>
          <w:bCs/>
          <w:sz w:val="28"/>
          <w:szCs w:val="28"/>
          <w:lang w:eastAsia="ru-RU"/>
        </w:rPr>
        <w:t xml:space="preserve"> Помимо международных рейтинговых агентств в настоящее время стала активно развиваться и российская рейтинговая деятельность. Несмотря на то, что ни у одного российского рейтингового агентства нет четко прописанной методики рейтингования, конкурентным преимуществом является приспособленность к российской действительности и потребностям инвесторов </w:t>
      </w:r>
      <w:r w:rsidRPr="00AD53CE">
        <w:rPr>
          <w:rFonts w:ascii="Times New Roman" w:hAnsi="Times New Roman"/>
          <w:bCs/>
          <w:sz w:val="28"/>
          <w:szCs w:val="28"/>
          <w:lang w:eastAsia="ru-RU"/>
        </w:rPr>
        <w:t>[6]</w:t>
      </w:r>
      <w:r>
        <w:rPr>
          <w:rFonts w:ascii="Times New Roman" w:hAnsi="Times New Roman"/>
          <w:bCs/>
          <w:sz w:val="28"/>
          <w:szCs w:val="28"/>
          <w:lang w:eastAsia="ru-RU"/>
        </w:rPr>
        <w:t>. Шкалы оценки национальных агентств практически аналогичны с международными, что позволяет сравнивать рейтинги. Создание национальной рейтинговой системы способствует повышению прозрачности отношений в банковской сфере.</w:t>
      </w:r>
    </w:p>
    <w:p w:rsidR="005D7A74" w:rsidRPr="004256CE" w:rsidRDefault="005D7A74" w:rsidP="006F70E5">
      <w:pPr>
        <w:spacing w:after="0" w:line="360" w:lineRule="auto"/>
        <w:ind w:firstLine="708"/>
        <w:jc w:val="both"/>
        <w:rPr>
          <w:rFonts w:ascii="Times New Roman" w:hAnsi="Times New Roman"/>
          <w:sz w:val="28"/>
          <w:szCs w:val="28"/>
          <w:lang w:eastAsia="ru-RU"/>
        </w:rPr>
      </w:pPr>
      <w:r>
        <w:rPr>
          <w:rFonts w:ascii="Times New Roman" w:hAnsi="Times New Roman"/>
          <w:bCs/>
          <w:sz w:val="28"/>
          <w:szCs w:val="28"/>
          <w:lang w:eastAsia="ru-RU"/>
        </w:rPr>
        <w:t>В качестве примера присвоения рейтинга кредитоспособности рассмотрим методологию агентства «Эксперт РА». Рейтинговая оценка, которую присваивает агентство</w:t>
      </w:r>
      <w:r w:rsidRPr="00BD290B">
        <w:rPr>
          <w:rFonts w:ascii="Times New Roman" w:hAnsi="Times New Roman"/>
          <w:bCs/>
          <w:sz w:val="28"/>
          <w:szCs w:val="28"/>
          <w:lang w:eastAsia="ru-RU"/>
        </w:rPr>
        <w:t>,</w:t>
      </w:r>
      <w:r>
        <w:rPr>
          <w:rFonts w:ascii="Times New Roman" w:hAnsi="Times New Roman"/>
          <w:bCs/>
          <w:sz w:val="28"/>
          <w:szCs w:val="28"/>
          <w:lang w:eastAsia="ru-RU"/>
        </w:rPr>
        <w:t xml:space="preserve"> подстроена под специфические особенности банковского рынка, причем страновой риск не учитывается. Его принимают во внимание только для кредитных организаций, работающих за рубежом. Деятельность рейтингового агентства в Российской Федерации регулирует Федеральный закон РФ от 13</w:t>
      </w:r>
      <w:r w:rsidRPr="004256CE">
        <w:rPr>
          <w:rFonts w:ascii="Times New Roman" w:hAnsi="Times New Roman"/>
          <w:bCs/>
          <w:sz w:val="28"/>
          <w:szCs w:val="28"/>
          <w:lang w:eastAsia="ru-RU"/>
        </w:rPr>
        <w:t>.07.2015 г.</w:t>
      </w:r>
      <w:r w:rsidRPr="004256CE">
        <w:rPr>
          <w:rFonts w:ascii="Times New Roman" w:hAnsi="Times New Roman"/>
          <w:sz w:val="28"/>
          <w:szCs w:val="28"/>
          <w:lang w:eastAsia="ru-RU"/>
        </w:rPr>
        <w:t xml:space="preserve"> </w:t>
      </w:r>
      <w:r>
        <w:rPr>
          <w:rFonts w:ascii="Times New Roman" w:hAnsi="Times New Roman"/>
          <w:sz w:val="28"/>
          <w:szCs w:val="28"/>
          <w:lang w:eastAsia="ru-RU"/>
        </w:rPr>
        <w:t>№</w:t>
      </w:r>
      <w:r w:rsidRPr="004256CE">
        <w:rPr>
          <w:rFonts w:ascii="Times New Roman" w:hAnsi="Times New Roman"/>
          <w:sz w:val="28"/>
          <w:szCs w:val="28"/>
          <w:lang w:eastAsia="ru-RU"/>
        </w:rPr>
        <w:t xml:space="preserve"> 222-ФЗ </w:t>
      </w:r>
      <w:r>
        <w:rPr>
          <w:rFonts w:ascii="Times New Roman" w:hAnsi="Times New Roman"/>
          <w:sz w:val="28"/>
          <w:szCs w:val="28"/>
          <w:lang w:eastAsia="ru-RU"/>
        </w:rPr>
        <w:t>«</w:t>
      </w:r>
      <w:r w:rsidRPr="004256CE">
        <w:rPr>
          <w:rFonts w:ascii="Times New Roman" w:hAnsi="Times New Roman"/>
          <w:sz w:val="28"/>
          <w:szCs w:val="28"/>
          <w:lang w:eastAsia="ru-RU"/>
        </w:rPr>
        <w:t>О деятельности кредитных рейтинговых агентс</w:t>
      </w:r>
      <w:r>
        <w:rPr>
          <w:rFonts w:ascii="Times New Roman" w:hAnsi="Times New Roman"/>
          <w:sz w:val="28"/>
          <w:szCs w:val="28"/>
          <w:lang w:eastAsia="ru-RU"/>
        </w:rPr>
        <w:t>тв в Российской Федерации» [1].</w:t>
      </w:r>
    </w:p>
    <w:p w:rsidR="005D7A74" w:rsidRPr="004256CE" w:rsidRDefault="005D7A74" w:rsidP="00A1303C">
      <w:pPr>
        <w:spacing w:after="0" w:line="360" w:lineRule="auto"/>
        <w:ind w:firstLine="709"/>
        <w:jc w:val="both"/>
        <w:rPr>
          <w:rFonts w:ascii="Times New Roman" w:hAnsi="Times New Roman"/>
          <w:sz w:val="28"/>
          <w:szCs w:val="28"/>
          <w:lang w:eastAsia="ru-RU"/>
        </w:rPr>
      </w:pPr>
      <w:r w:rsidRPr="004256CE">
        <w:rPr>
          <w:rFonts w:ascii="Times New Roman" w:hAnsi="Times New Roman"/>
          <w:sz w:val="28"/>
          <w:szCs w:val="28"/>
          <w:lang w:eastAsia="ru-RU"/>
        </w:rPr>
        <w:t>Развивающийся прогноз: в среднесрочной перспективе (на горизонте 3-х месяцев) равновероятны 2 или более вариантов рейтинговых действий (сохранение, повышение или снижение рейтинга)</w:t>
      </w:r>
      <w:r>
        <w:rPr>
          <w:rFonts w:ascii="Times New Roman" w:hAnsi="Times New Roman"/>
          <w:sz w:val="28"/>
          <w:szCs w:val="28"/>
          <w:lang w:eastAsia="ru-RU"/>
        </w:rPr>
        <w:t>.</w:t>
      </w:r>
    </w:p>
    <w:p w:rsidR="005D7A74" w:rsidRDefault="005D7A74" w:rsidP="006F70E5">
      <w:pPr>
        <w:spacing w:after="0" w:line="360" w:lineRule="auto"/>
        <w:ind w:firstLine="709"/>
        <w:jc w:val="both"/>
        <w:rPr>
          <w:rFonts w:ascii="Times New Roman" w:hAnsi="Times New Roman"/>
          <w:sz w:val="28"/>
          <w:szCs w:val="28"/>
          <w:lang w:eastAsia="ru-RU"/>
        </w:rPr>
      </w:pPr>
      <w:r w:rsidRPr="004256CE">
        <w:rPr>
          <w:rFonts w:ascii="Times New Roman" w:hAnsi="Times New Roman"/>
          <w:sz w:val="28"/>
          <w:szCs w:val="28"/>
          <w:lang w:eastAsia="ru-RU"/>
        </w:rPr>
        <w:t>Прогноз присваивается только по отношению к итоговому рейтингу (не к рейтингу самостоятельной кредитоспособности или подуровню в рамках рейтинговых классов А и А+).</w:t>
      </w:r>
      <w:r>
        <w:rPr>
          <w:rFonts w:ascii="Times New Roman" w:hAnsi="Times New Roman"/>
          <w:sz w:val="28"/>
          <w:szCs w:val="28"/>
          <w:lang w:eastAsia="ru-RU"/>
        </w:rPr>
        <w:t xml:space="preserve"> Источниками информации для проведения рейтинговой оценки кредитоспособности банка являются: формы финансовой отчетности (101, 110, 102 и т.д.), Устав банка в действующей редакции, годовая аудиторская отчетность по МСФО, документы, регламентирующие управление в банке и т.п. В результате методика агентства включает</w:t>
      </w:r>
      <w:r w:rsidRPr="00B235D0">
        <w:rPr>
          <w:rFonts w:ascii="Times New Roman" w:hAnsi="Times New Roman"/>
          <w:sz w:val="28"/>
          <w:szCs w:val="28"/>
          <w:lang w:eastAsia="ru-RU"/>
        </w:rPr>
        <w:t xml:space="preserve">: </w:t>
      </w:r>
      <w:r w:rsidRPr="004256CE">
        <w:rPr>
          <w:rFonts w:ascii="Times New Roman" w:hAnsi="Times New Roman"/>
          <w:sz w:val="28"/>
          <w:szCs w:val="28"/>
          <w:lang w:eastAsia="ru-RU"/>
        </w:rPr>
        <w:t>1) определение рейтинга самостоятельной кредитоспособности банка; 2) определение итогового рейтинга банка путем корректировки рейтинга самостоятельной кредитоспособности на внешние факторы подд</w:t>
      </w:r>
      <w:r>
        <w:rPr>
          <w:rFonts w:ascii="Times New Roman" w:hAnsi="Times New Roman"/>
          <w:sz w:val="28"/>
          <w:szCs w:val="28"/>
          <w:lang w:eastAsia="ru-RU"/>
        </w:rPr>
        <w:t>ержки и внешние стресс-факторы</w:t>
      </w:r>
      <w:r w:rsidRPr="00AD53CE">
        <w:rPr>
          <w:rFonts w:ascii="Times New Roman" w:hAnsi="Times New Roman"/>
          <w:sz w:val="28"/>
          <w:szCs w:val="28"/>
          <w:lang w:eastAsia="ru-RU"/>
        </w:rPr>
        <w:t xml:space="preserve"> [</w:t>
      </w:r>
      <w:r>
        <w:rPr>
          <w:rFonts w:ascii="Times New Roman" w:hAnsi="Times New Roman"/>
          <w:sz w:val="28"/>
          <w:szCs w:val="28"/>
          <w:lang w:eastAsia="ru-RU"/>
        </w:rPr>
        <w:t>7</w:t>
      </w:r>
      <w:r w:rsidRPr="00AD53CE">
        <w:rPr>
          <w:rFonts w:ascii="Times New Roman" w:hAnsi="Times New Roman"/>
          <w:sz w:val="28"/>
          <w:szCs w:val="28"/>
          <w:lang w:eastAsia="ru-RU"/>
        </w:rPr>
        <w:t>]</w:t>
      </w:r>
      <w:r>
        <w:rPr>
          <w:rFonts w:ascii="Times New Roman" w:hAnsi="Times New Roman"/>
          <w:sz w:val="28"/>
          <w:szCs w:val="28"/>
          <w:lang w:eastAsia="ru-RU"/>
        </w:rPr>
        <w:t>.</w:t>
      </w:r>
    </w:p>
    <w:p w:rsidR="005D7A74" w:rsidRPr="00714452" w:rsidRDefault="005D7A74" w:rsidP="00714452">
      <w:pPr>
        <w:spacing w:after="0" w:line="360" w:lineRule="auto"/>
        <w:ind w:firstLine="709"/>
        <w:jc w:val="both"/>
        <w:rPr>
          <w:rFonts w:ascii="Times New Roman" w:hAnsi="Times New Roman"/>
          <w:sz w:val="28"/>
          <w:szCs w:val="20"/>
          <w:shd w:val="clear" w:color="auto" w:fill="FFFFFF"/>
        </w:rPr>
      </w:pPr>
      <w:r>
        <w:rPr>
          <w:rFonts w:ascii="Times New Roman" w:hAnsi="Times New Roman"/>
          <w:sz w:val="28"/>
          <w:szCs w:val="28"/>
          <w:lang w:eastAsia="ru-RU"/>
        </w:rPr>
        <w:t xml:space="preserve">Для полноценного присвоения рейтинга банку национальные рейтинговые агентства базируются на ключевых предположениях, которые позволяют принять решение. Эти предположения касаются макро и микроэкономической ситуации в России, а также их воздействие на деятельность банка в течение последних 12 месяцев и пересматриваются один раз в год. </w:t>
      </w:r>
      <w:r w:rsidRPr="00714452">
        <w:rPr>
          <w:rFonts w:ascii="Times New Roman" w:hAnsi="Times New Roman"/>
          <w:sz w:val="28"/>
          <w:szCs w:val="20"/>
          <w:shd w:val="clear" w:color="auto" w:fill="FFFFFF"/>
        </w:rPr>
        <w:t xml:space="preserve">Согласно базовому прогнозу </w:t>
      </w:r>
      <w:r w:rsidRPr="00714452">
        <w:rPr>
          <w:rFonts w:ascii="Times New Roman" w:hAnsi="Times New Roman"/>
          <w:sz w:val="28"/>
          <w:szCs w:val="20"/>
          <w:shd w:val="clear" w:color="auto" w:fill="FFFFFF"/>
          <w:lang w:val="en-US"/>
        </w:rPr>
        <w:t>RAEX</w:t>
      </w:r>
      <w:r w:rsidRPr="00714452">
        <w:rPr>
          <w:rFonts w:ascii="Times New Roman" w:hAnsi="Times New Roman"/>
          <w:sz w:val="28"/>
          <w:szCs w:val="20"/>
          <w:shd w:val="clear" w:color="auto" w:fill="FFFFFF"/>
        </w:rPr>
        <w:t xml:space="preserve"> (Эксперт РА), в 2017 году кредитный портфель </w:t>
      </w:r>
      <w:r>
        <w:rPr>
          <w:rFonts w:ascii="Times New Roman" w:hAnsi="Times New Roman"/>
          <w:sz w:val="28"/>
          <w:szCs w:val="20"/>
          <w:shd w:val="clear" w:color="auto" w:fill="FFFFFF"/>
        </w:rPr>
        <w:t xml:space="preserve">по </w:t>
      </w:r>
      <w:r w:rsidRPr="00714452">
        <w:rPr>
          <w:rFonts w:ascii="Times New Roman" w:hAnsi="Times New Roman"/>
          <w:sz w:val="28"/>
          <w:szCs w:val="20"/>
          <w:shd w:val="clear" w:color="auto" w:fill="FFFFFF"/>
        </w:rPr>
        <w:t xml:space="preserve">нефинансовому сектору прибавит 6% (в 2016 году </w:t>
      </w:r>
      <w:r>
        <w:rPr>
          <w:rFonts w:ascii="Times New Roman" w:hAnsi="Times New Roman"/>
          <w:sz w:val="28"/>
          <w:szCs w:val="20"/>
          <w:shd w:val="clear" w:color="auto" w:fill="FFFFFF"/>
        </w:rPr>
        <w:t xml:space="preserve">наблюдалось </w:t>
      </w:r>
      <w:r w:rsidRPr="00714452">
        <w:rPr>
          <w:rFonts w:ascii="Times New Roman" w:hAnsi="Times New Roman"/>
          <w:sz w:val="28"/>
          <w:szCs w:val="20"/>
          <w:shd w:val="clear" w:color="auto" w:fill="FFFFFF"/>
        </w:rPr>
        <w:t xml:space="preserve">падения на 5%) благодаря удешевлению фондирования и более высоким темпам роста экономики. Но как и в 2016 году, рост портфеля у многих банков будет ограничен слабым запасом основного капитала на фоне ужесточения подхода ЦБ РФ к резервированию ссуд и скрытых в реструктуризациях проблемных кредитов крупному бизнесу. Поэтому рост будет неравномерным, и в 2017 году </w:t>
      </w:r>
      <w:r>
        <w:rPr>
          <w:rFonts w:ascii="Times New Roman" w:hAnsi="Times New Roman"/>
          <w:sz w:val="28"/>
          <w:szCs w:val="20"/>
          <w:shd w:val="clear" w:color="auto" w:fill="FFFFFF"/>
        </w:rPr>
        <w:t>ожидается</w:t>
      </w:r>
      <w:r w:rsidRPr="00714452">
        <w:rPr>
          <w:rFonts w:ascii="Times New Roman" w:hAnsi="Times New Roman"/>
          <w:sz w:val="28"/>
          <w:szCs w:val="20"/>
          <w:shd w:val="clear" w:color="auto" w:fill="FFFFFF"/>
        </w:rPr>
        <w:t xml:space="preserve"> продолжени</w:t>
      </w:r>
      <w:r>
        <w:rPr>
          <w:rFonts w:ascii="Times New Roman" w:hAnsi="Times New Roman"/>
          <w:sz w:val="28"/>
          <w:szCs w:val="20"/>
          <w:shd w:val="clear" w:color="auto" w:fill="FFFFFF"/>
        </w:rPr>
        <w:t>е</w:t>
      </w:r>
      <w:r w:rsidRPr="00714452">
        <w:rPr>
          <w:rFonts w:ascii="Times New Roman" w:hAnsi="Times New Roman"/>
          <w:sz w:val="28"/>
          <w:szCs w:val="20"/>
          <w:shd w:val="clear" w:color="auto" w:fill="FFFFFF"/>
        </w:rPr>
        <w:t xml:space="preserve"> тенденции к консолидации банковской системы за счет ухода слабых игроков с рынка</w:t>
      </w:r>
      <w:r w:rsidRPr="00AD53CE">
        <w:rPr>
          <w:rFonts w:ascii="Times New Roman" w:hAnsi="Times New Roman"/>
          <w:sz w:val="28"/>
          <w:szCs w:val="20"/>
          <w:shd w:val="clear" w:color="auto" w:fill="FFFFFF"/>
        </w:rPr>
        <w:t xml:space="preserve"> [</w:t>
      </w:r>
      <w:r>
        <w:rPr>
          <w:rFonts w:ascii="Times New Roman" w:hAnsi="Times New Roman"/>
          <w:sz w:val="28"/>
          <w:szCs w:val="20"/>
          <w:shd w:val="clear" w:color="auto" w:fill="FFFFFF"/>
        </w:rPr>
        <w:t>8</w:t>
      </w:r>
      <w:r w:rsidRPr="00AD53CE">
        <w:rPr>
          <w:rFonts w:ascii="Times New Roman" w:hAnsi="Times New Roman"/>
          <w:sz w:val="28"/>
          <w:szCs w:val="20"/>
          <w:shd w:val="clear" w:color="auto" w:fill="FFFFFF"/>
        </w:rPr>
        <w:t>]</w:t>
      </w:r>
      <w:r w:rsidRPr="00714452">
        <w:rPr>
          <w:rFonts w:ascii="Times New Roman" w:hAnsi="Times New Roman"/>
          <w:sz w:val="28"/>
          <w:szCs w:val="20"/>
          <w:shd w:val="clear" w:color="auto" w:fill="FFFFFF"/>
        </w:rPr>
        <w:t>.</w:t>
      </w:r>
    </w:p>
    <w:p w:rsidR="005D7A74" w:rsidRPr="00714452" w:rsidRDefault="005D7A74" w:rsidP="00714452">
      <w:pPr>
        <w:spacing w:after="0" w:line="360" w:lineRule="auto"/>
        <w:ind w:firstLine="709"/>
        <w:jc w:val="both"/>
        <w:rPr>
          <w:rFonts w:ascii="Times New Roman" w:hAnsi="Times New Roman"/>
          <w:sz w:val="28"/>
          <w:szCs w:val="20"/>
          <w:shd w:val="clear" w:color="auto" w:fill="FFFFFF"/>
        </w:rPr>
      </w:pPr>
      <w:r w:rsidRPr="00714452">
        <w:rPr>
          <w:rFonts w:ascii="Times New Roman" w:hAnsi="Times New Roman"/>
          <w:sz w:val="28"/>
          <w:szCs w:val="20"/>
          <w:shd w:val="clear" w:color="auto" w:fill="FFFFFF"/>
        </w:rPr>
        <w:t xml:space="preserve">Темпы роста экономики и банковского сектора в 2017 году, как и прежде, будут определяться динамикой цен на нефть и ключевой ставки ЦБ РФ. Базовый сценарий </w:t>
      </w:r>
      <w:r w:rsidRPr="00714452">
        <w:rPr>
          <w:rFonts w:ascii="Times New Roman" w:hAnsi="Times New Roman"/>
          <w:sz w:val="28"/>
          <w:szCs w:val="20"/>
          <w:shd w:val="clear" w:color="auto" w:fill="FFFFFF"/>
          <w:lang w:val="en-US"/>
        </w:rPr>
        <w:t>RAEX</w:t>
      </w:r>
      <w:r w:rsidRPr="00714452">
        <w:rPr>
          <w:rFonts w:ascii="Times New Roman" w:hAnsi="Times New Roman"/>
          <w:sz w:val="28"/>
          <w:szCs w:val="20"/>
          <w:shd w:val="clear" w:color="auto" w:fill="FFFFFF"/>
        </w:rPr>
        <w:t xml:space="preserve"> предполагает среднегодовую цену на нефть (марки </w:t>
      </w:r>
      <w:r w:rsidRPr="00714452">
        <w:rPr>
          <w:rFonts w:ascii="Times New Roman" w:hAnsi="Times New Roman"/>
          <w:sz w:val="28"/>
          <w:szCs w:val="20"/>
          <w:shd w:val="clear" w:color="auto" w:fill="FFFFFF"/>
          <w:lang w:val="en-US"/>
        </w:rPr>
        <w:t>Brent</w:t>
      </w:r>
      <w:r w:rsidRPr="00714452">
        <w:rPr>
          <w:rFonts w:ascii="Times New Roman" w:hAnsi="Times New Roman"/>
          <w:sz w:val="28"/>
          <w:szCs w:val="20"/>
          <w:shd w:val="clear" w:color="auto" w:fill="FFFFFF"/>
        </w:rPr>
        <w:t>) в 50 долларов за баррель (таблиц</w:t>
      </w:r>
      <w:r>
        <w:rPr>
          <w:rFonts w:ascii="Times New Roman" w:hAnsi="Times New Roman"/>
          <w:sz w:val="28"/>
          <w:szCs w:val="20"/>
          <w:shd w:val="clear" w:color="auto" w:fill="FFFFFF"/>
        </w:rPr>
        <w:t>а</w:t>
      </w:r>
      <w:r w:rsidRPr="00714452">
        <w:rPr>
          <w:rFonts w:ascii="Times New Roman" w:hAnsi="Times New Roman"/>
          <w:sz w:val="28"/>
          <w:szCs w:val="20"/>
          <w:shd w:val="clear" w:color="auto" w:fill="FFFFFF"/>
        </w:rPr>
        <w:t xml:space="preserve"> </w:t>
      </w:r>
      <w:r>
        <w:rPr>
          <w:rFonts w:ascii="Times New Roman" w:hAnsi="Times New Roman"/>
          <w:sz w:val="28"/>
          <w:szCs w:val="20"/>
          <w:shd w:val="clear" w:color="auto" w:fill="FFFFFF"/>
        </w:rPr>
        <w:t>2</w:t>
      </w:r>
      <w:r w:rsidRPr="00714452">
        <w:rPr>
          <w:rFonts w:ascii="Times New Roman" w:hAnsi="Times New Roman"/>
          <w:sz w:val="28"/>
          <w:szCs w:val="20"/>
          <w:shd w:val="clear" w:color="auto" w:fill="FFFFFF"/>
        </w:rPr>
        <w:t xml:space="preserve">) </w:t>
      </w:r>
      <w:r w:rsidRPr="00B87CFE">
        <w:rPr>
          <w:rFonts w:ascii="Times New Roman" w:hAnsi="Times New Roman"/>
          <w:sz w:val="28"/>
          <w:szCs w:val="20"/>
          <w:shd w:val="clear" w:color="auto" w:fill="FFFFFF"/>
        </w:rPr>
        <w:t>[</w:t>
      </w:r>
      <w:r>
        <w:rPr>
          <w:rFonts w:ascii="Times New Roman" w:hAnsi="Times New Roman"/>
          <w:sz w:val="28"/>
          <w:szCs w:val="20"/>
          <w:shd w:val="clear" w:color="auto" w:fill="FFFFFF"/>
        </w:rPr>
        <w:t>9</w:t>
      </w:r>
      <w:r w:rsidRPr="00B87CFE">
        <w:rPr>
          <w:rFonts w:ascii="Times New Roman" w:hAnsi="Times New Roman"/>
          <w:sz w:val="28"/>
          <w:szCs w:val="20"/>
          <w:shd w:val="clear" w:color="auto" w:fill="FFFFFF"/>
        </w:rPr>
        <w:t>]</w:t>
      </w:r>
      <w:r>
        <w:rPr>
          <w:rFonts w:ascii="Times New Roman" w:hAnsi="Times New Roman"/>
          <w:sz w:val="28"/>
          <w:szCs w:val="20"/>
          <w:shd w:val="clear" w:color="auto" w:fill="FFFFFF"/>
        </w:rPr>
        <w:t xml:space="preserve"> </w:t>
      </w:r>
      <w:r w:rsidRPr="00714452">
        <w:rPr>
          <w:rFonts w:ascii="Times New Roman" w:hAnsi="Times New Roman"/>
          <w:sz w:val="28"/>
          <w:szCs w:val="20"/>
          <w:shd w:val="clear" w:color="auto" w:fill="FFFFFF"/>
        </w:rPr>
        <w:t>и среднегодовой курс доллара на уровне 65 рублей, негативный - снижение цены на нефть до 40 долларов и курс доллара около 70 рублей, а позитивный - рост цены на нефть до 60 долларов и курс доллара около 55 рублей. Все сценарии предполагают сохранение напряженной геополитической ситуации. Базовый сценарий предусматривает замедление инфляции до 5% и снижение ключевой ставки до 8,5%. Негативный сценарий реализуется при ускорении инфляции до 8%, что приведет к росту ключевой ставки на 1-2 п.п. Понижение ключевой ставки до уровня лета 2014 года (7-8%) ожидается только в позитивном сценарии при достижении целевого уровня инфляции в 4%. Вероятность реализации базового сценария мы оцениваем в 60%, негативного и позитивного - по 20%</w:t>
      </w:r>
      <w:r w:rsidRPr="00AD53CE">
        <w:rPr>
          <w:rFonts w:ascii="Times New Roman" w:hAnsi="Times New Roman"/>
          <w:sz w:val="28"/>
          <w:szCs w:val="20"/>
          <w:shd w:val="clear" w:color="auto" w:fill="FFFFFF"/>
        </w:rPr>
        <w:t xml:space="preserve"> [5]</w:t>
      </w:r>
      <w:r w:rsidRPr="00714452">
        <w:rPr>
          <w:rFonts w:ascii="Times New Roman" w:hAnsi="Times New Roman"/>
          <w:sz w:val="28"/>
          <w:szCs w:val="20"/>
          <w:shd w:val="clear" w:color="auto" w:fill="FFFFFF"/>
        </w:rPr>
        <w:t>.</w:t>
      </w:r>
    </w:p>
    <w:p w:rsidR="005D7A74" w:rsidRDefault="005D7A74" w:rsidP="00714452">
      <w:pPr>
        <w:spacing w:after="0" w:line="360" w:lineRule="auto"/>
        <w:ind w:firstLine="709"/>
        <w:jc w:val="both"/>
        <w:rPr>
          <w:rFonts w:ascii="Times New Roman" w:hAnsi="Times New Roman"/>
          <w:sz w:val="28"/>
          <w:szCs w:val="20"/>
          <w:shd w:val="clear" w:color="auto" w:fill="FFFFFF"/>
        </w:rPr>
      </w:pPr>
    </w:p>
    <w:p w:rsidR="005D7A74" w:rsidRDefault="005D7A74" w:rsidP="00714452">
      <w:pPr>
        <w:spacing w:after="0" w:line="360" w:lineRule="auto"/>
        <w:ind w:firstLine="709"/>
        <w:jc w:val="both"/>
        <w:rPr>
          <w:rFonts w:ascii="Times New Roman" w:hAnsi="Times New Roman"/>
          <w:sz w:val="28"/>
          <w:szCs w:val="20"/>
          <w:shd w:val="clear" w:color="auto" w:fill="FFFFFF"/>
        </w:rPr>
      </w:pPr>
      <w:r>
        <w:rPr>
          <w:rFonts w:ascii="Times New Roman" w:hAnsi="Times New Roman"/>
          <w:sz w:val="28"/>
          <w:szCs w:val="20"/>
          <w:shd w:val="clear" w:color="auto" w:fill="FFFFFF"/>
        </w:rPr>
        <w:t xml:space="preserve">Таблица 2. </w:t>
      </w:r>
      <w:r w:rsidRPr="00431E91">
        <w:rPr>
          <w:rFonts w:ascii="Times New Roman" w:hAnsi="Times New Roman"/>
          <w:sz w:val="28"/>
          <w:szCs w:val="20"/>
          <w:shd w:val="clear" w:color="auto" w:fill="FFFFFF"/>
        </w:rPr>
        <w:t>Ключевые предпосылки сценариев развития банковского сектора в 2017 году</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085"/>
        <w:gridCol w:w="1701"/>
        <w:gridCol w:w="2322"/>
        <w:gridCol w:w="2072"/>
      </w:tblGrid>
      <w:tr w:rsidR="005D7A74" w:rsidRPr="006C0CCB" w:rsidTr="006C0CCB">
        <w:tc>
          <w:tcPr>
            <w:tcW w:w="3085" w:type="dxa"/>
          </w:tcPr>
          <w:p w:rsidR="005D7A74" w:rsidRPr="006C0CCB" w:rsidRDefault="005D7A74" w:rsidP="006C0CCB">
            <w:pPr>
              <w:spacing w:after="0" w:line="240" w:lineRule="auto"/>
              <w:rPr>
                <w:rFonts w:ascii="Times New Roman" w:hAnsi="Times New Roman"/>
                <w:sz w:val="24"/>
                <w:szCs w:val="24"/>
              </w:rPr>
            </w:pPr>
            <w:r w:rsidRPr="006C0CCB">
              <w:rPr>
                <w:rFonts w:ascii="Times New Roman" w:hAnsi="Times New Roman"/>
                <w:sz w:val="24"/>
                <w:szCs w:val="24"/>
              </w:rPr>
              <w:t>Предпосылки</w:t>
            </w:r>
          </w:p>
        </w:tc>
        <w:tc>
          <w:tcPr>
            <w:tcW w:w="1701" w:type="dxa"/>
          </w:tcPr>
          <w:p w:rsidR="005D7A74" w:rsidRPr="006C0CCB" w:rsidRDefault="005D7A74" w:rsidP="006C0CCB">
            <w:pPr>
              <w:spacing w:after="0" w:line="240" w:lineRule="auto"/>
              <w:jc w:val="center"/>
              <w:rPr>
                <w:rFonts w:ascii="Times New Roman" w:hAnsi="Times New Roman"/>
                <w:sz w:val="24"/>
                <w:szCs w:val="24"/>
              </w:rPr>
            </w:pPr>
            <w:r w:rsidRPr="006C0CCB">
              <w:rPr>
                <w:rFonts w:ascii="Times New Roman" w:hAnsi="Times New Roman"/>
                <w:sz w:val="24"/>
                <w:szCs w:val="24"/>
              </w:rPr>
              <w:t>Базовый сценарий</w:t>
            </w:r>
          </w:p>
        </w:tc>
        <w:tc>
          <w:tcPr>
            <w:tcW w:w="2322" w:type="dxa"/>
          </w:tcPr>
          <w:p w:rsidR="005D7A74" w:rsidRPr="006C0CCB" w:rsidRDefault="005D7A74" w:rsidP="006C0CCB">
            <w:pPr>
              <w:spacing w:after="0" w:line="240" w:lineRule="auto"/>
              <w:jc w:val="center"/>
              <w:rPr>
                <w:rFonts w:ascii="Times New Roman" w:hAnsi="Times New Roman"/>
                <w:sz w:val="24"/>
                <w:szCs w:val="24"/>
              </w:rPr>
            </w:pPr>
            <w:r w:rsidRPr="006C0CCB">
              <w:rPr>
                <w:rFonts w:ascii="Times New Roman" w:hAnsi="Times New Roman"/>
                <w:sz w:val="24"/>
                <w:szCs w:val="24"/>
              </w:rPr>
              <w:t>Негативный сценарий</w:t>
            </w:r>
          </w:p>
        </w:tc>
        <w:tc>
          <w:tcPr>
            <w:tcW w:w="2072" w:type="dxa"/>
          </w:tcPr>
          <w:p w:rsidR="005D7A74" w:rsidRPr="006C0CCB" w:rsidRDefault="005D7A74" w:rsidP="006C0CCB">
            <w:pPr>
              <w:spacing w:after="0" w:line="240" w:lineRule="auto"/>
              <w:jc w:val="center"/>
              <w:rPr>
                <w:rFonts w:ascii="Times New Roman" w:hAnsi="Times New Roman"/>
                <w:sz w:val="24"/>
                <w:szCs w:val="24"/>
              </w:rPr>
            </w:pPr>
            <w:r w:rsidRPr="006C0CCB">
              <w:rPr>
                <w:rFonts w:ascii="Times New Roman" w:hAnsi="Times New Roman"/>
                <w:sz w:val="24"/>
                <w:szCs w:val="24"/>
              </w:rPr>
              <w:t>Позитивный сценарий</w:t>
            </w:r>
          </w:p>
        </w:tc>
      </w:tr>
      <w:tr w:rsidR="005D7A74" w:rsidRPr="006C0CCB" w:rsidTr="006C0CCB">
        <w:tc>
          <w:tcPr>
            <w:tcW w:w="3085" w:type="dxa"/>
          </w:tcPr>
          <w:p w:rsidR="005D7A74" w:rsidRPr="006C0CCB" w:rsidRDefault="005D7A74" w:rsidP="006C0CCB">
            <w:pPr>
              <w:spacing w:after="0" w:line="240" w:lineRule="auto"/>
              <w:rPr>
                <w:rFonts w:ascii="Times New Roman" w:hAnsi="Times New Roman"/>
                <w:sz w:val="24"/>
                <w:szCs w:val="24"/>
              </w:rPr>
            </w:pPr>
            <w:r w:rsidRPr="006C0CCB">
              <w:rPr>
                <w:rFonts w:ascii="Times New Roman" w:hAnsi="Times New Roman"/>
                <w:sz w:val="24"/>
                <w:szCs w:val="24"/>
              </w:rPr>
              <w:t>Цена нефти марки Brent, долл. за баррель (среднегодовая)</w:t>
            </w:r>
          </w:p>
        </w:tc>
        <w:tc>
          <w:tcPr>
            <w:tcW w:w="1701" w:type="dxa"/>
          </w:tcPr>
          <w:p w:rsidR="005D7A74" w:rsidRPr="006C0CCB" w:rsidRDefault="005D7A74" w:rsidP="006C0CCB">
            <w:pPr>
              <w:spacing w:after="0" w:line="240" w:lineRule="auto"/>
              <w:jc w:val="center"/>
              <w:rPr>
                <w:rFonts w:ascii="Times New Roman" w:hAnsi="Times New Roman"/>
                <w:sz w:val="24"/>
                <w:szCs w:val="24"/>
              </w:rPr>
            </w:pPr>
            <w:r w:rsidRPr="006C0CCB">
              <w:rPr>
                <w:rFonts w:ascii="Times New Roman" w:hAnsi="Times New Roman"/>
                <w:sz w:val="24"/>
                <w:szCs w:val="24"/>
              </w:rPr>
              <w:t>50</w:t>
            </w:r>
          </w:p>
        </w:tc>
        <w:tc>
          <w:tcPr>
            <w:tcW w:w="2322" w:type="dxa"/>
          </w:tcPr>
          <w:p w:rsidR="005D7A74" w:rsidRPr="006C0CCB" w:rsidRDefault="005D7A74" w:rsidP="006C0CCB">
            <w:pPr>
              <w:spacing w:after="0" w:line="240" w:lineRule="auto"/>
              <w:jc w:val="center"/>
              <w:rPr>
                <w:rFonts w:ascii="Times New Roman" w:hAnsi="Times New Roman"/>
                <w:sz w:val="24"/>
                <w:szCs w:val="24"/>
              </w:rPr>
            </w:pPr>
            <w:r w:rsidRPr="006C0CCB">
              <w:rPr>
                <w:rFonts w:ascii="Times New Roman" w:hAnsi="Times New Roman"/>
                <w:sz w:val="24"/>
                <w:szCs w:val="24"/>
              </w:rPr>
              <w:t>40</w:t>
            </w:r>
          </w:p>
        </w:tc>
        <w:tc>
          <w:tcPr>
            <w:tcW w:w="2072" w:type="dxa"/>
          </w:tcPr>
          <w:p w:rsidR="005D7A74" w:rsidRPr="006C0CCB" w:rsidRDefault="005D7A74" w:rsidP="006C0CCB">
            <w:pPr>
              <w:spacing w:after="0" w:line="240" w:lineRule="auto"/>
              <w:jc w:val="center"/>
              <w:rPr>
                <w:rFonts w:ascii="Times New Roman" w:hAnsi="Times New Roman"/>
                <w:sz w:val="24"/>
                <w:szCs w:val="24"/>
              </w:rPr>
            </w:pPr>
            <w:r w:rsidRPr="006C0CCB">
              <w:rPr>
                <w:rFonts w:ascii="Times New Roman" w:hAnsi="Times New Roman"/>
                <w:sz w:val="24"/>
                <w:szCs w:val="24"/>
              </w:rPr>
              <w:t>60</w:t>
            </w:r>
          </w:p>
        </w:tc>
      </w:tr>
      <w:tr w:rsidR="005D7A74" w:rsidRPr="006C0CCB" w:rsidTr="006C0CCB">
        <w:tc>
          <w:tcPr>
            <w:tcW w:w="3085" w:type="dxa"/>
          </w:tcPr>
          <w:p w:rsidR="005D7A74" w:rsidRPr="006C0CCB" w:rsidRDefault="005D7A74" w:rsidP="006C0CCB">
            <w:pPr>
              <w:spacing w:after="0" w:line="240" w:lineRule="auto"/>
              <w:rPr>
                <w:rFonts w:ascii="Times New Roman" w:hAnsi="Times New Roman"/>
                <w:sz w:val="24"/>
                <w:szCs w:val="24"/>
              </w:rPr>
            </w:pPr>
            <w:r w:rsidRPr="006C0CCB">
              <w:rPr>
                <w:rFonts w:ascii="Times New Roman" w:hAnsi="Times New Roman"/>
                <w:sz w:val="24"/>
                <w:szCs w:val="24"/>
              </w:rPr>
              <w:t>Темп прироста реального ВВП, %</w:t>
            </w:r>
          </w:p>
        </w:tc>
        <w:tc>
          <w:tcPr>
            <w:tcW w:w="1701" w:type="dxa"/>
          </w:tcPr>
          <w:p w:rsidR="005D7A74" w:rsidRPr="006C0CCB" w:rsidRDefault="005D7A74" w:rsidP="006C0CCB">
            <w:pPr>
              <w:spacing w:after="0" w:line="240" w:lineRule="auto"/>
              <w:jc w:val="center"/>
              <w:rPr>
                <w:rFonts w:ascii="Times New Roman" w:hAnsi="Times New Roman"/>
                <w:sz w:val="24"/>
                <w:szCs w:val="24"/>
              </w:rPr>
            </w:pPr>
            <w:r w:rsidRPr="006C0CCB">
              <w:rPr>
                <w:rFonts w:ascii="Times New Roman" w:hAnsi="Times New Roman"/>
                <w:sz w:val="24"/>
                <w:szCs w:val="24"/>
              </w:rPr>
              <w:t>+0,5-1,0</w:t>
            </w:r>
          </w:p>
        </w:tc>
        <w:tc>
          <w:tcPr>
            <w:tcW w:w="2322" w:type="dxa"/>
          </w:tcPr>
          <w:p w:rsidR="005D7A74" w:rsidRPr="006C0CCB" w:rsidRDefault="005D7A74" w:rsidP="006C0CCB">
            <w:pPr>
              <w:spacing w:after="0" w:line="240" w:lineRule="auto"/>
              <w:jc w:val="center"/>
              <w:rPr>
                <w:rFonts w:ascii="Times New Roman" w:hAnsi="Times New Roman"/>
                <w:sz w:val="24"/>
                <w:szCs w:val="24"/>
              </w:rPr>
            </w:pPr>
            <w:r w:rsidRPr="006C0CCB">
              <w:rPr>
                <w:rFonts w:ascii="Times New Roman" w:hAnsi="Times New Roman"/>
                <w:sz w:val="24"/>
                <w:szCs w:val="24"/>
              </w:rPr>
              <w:t>-1,0 – 1,5</w:t>
            </w:r>
          </w:p>
        </w:tc>
        <w:tc>
          <w:tcPr>
            <w:tcW w:w="2072" w:type="dxa"/>
          </w:tcPr>
          <w:p w:rsidR="005D7A74" w:rsidRPr="006C0CCB" w:rsidRDefault="005D7A74" w:rsidP="006C0CCB">
            <w:pPr>
              <w:spacing w:after="0" w:line="240" w:lineRule="auto"/>
              <w:jc w:val="center"/>
              <w:rPr>
                <w:rFonts w:ascii="Times New Roman" w:hAnsi="Times New Roman"/>
                <w:sz w:val="24"/>
                <w:szCs w:val="24"/>
              </w:rPr>
            </w:pPr>
            <w:r w:rsidRPr="006C0CCB">
              <w:rPr>
                <w:rFonts w:ascii="Times New Roman" w:hAnsi="Times New Roman"/>
                <w:sz w:val="24"/>
                <w:szCs w:val="24"/>
              </w:rPr>
              <w:t>+1,5-2,0</w:t>
            </w:r>
          </w:p>
        </w:tc>
      </w:tr>
      <w:tr w:rsidR="005D7A74" w:rsidRPr="006C0CCB" w:rsidTr="006C0CCB">
        <w:tc>
          <w:tcPr>
            <w:tcW w:w="3085" w:type="dxa"/>
          </w:tcPr>
          <w:p w:rsidR="005D7A74" w:rsidRPr="006C0CCB" w:rsidRDefault="005D7A74" w:rsidP="006C0CCB">
            <w:pPr>
              <w:spacing w:after="0" w:line="240" w:lineRule="auto"/>
              <w:rPr>
                <w:rFonts w:ascii="Times New Roman" w:hAnsi="Times New Roman"/>
                <w:sz w:val="24"/>
                <w:szCs w:val="24"/>
              </w:rPr>
            </w:pPr>
            <w:r w:rsidRPr="006C0CCB">
              <w:rPr>
                <w:rFonts w:ascii="Times New Roman" w:hAnsi="Times New Roman"/>
                <w:sz w:val="24"/>
                <w:szCs w:val="24"/>
              </w:rPr>
              <w:t>Курс доллар/рубль (среднегодовой)</w:t>
            </w:r>
          </w:p>
        </w:tc>
        <w:tc>
          <w:tcPr>
            <w:tcW w:w="1701" w:type="dxa"/>
          </w:tcPr>
          <w:p w:rsidR="005D7A74" w:rsidRPr="006C0CCB" w:rsidRDefault="005D7A74" w:rsidP="006C0CCB">
            <w:pPr>
              <w:spacing w:after="0" w:line="240" w:lineRule="auto"/>
              <w:jc w:val="center"/>
              <w:rPr>
                <w:rFonts w:ascii="Times New Roman" w:hAnsi="Times New Roman"/>
                <w:sz w:val="24"/>
                <w:szCs w:val="24"/>
              </w:rPr>
            </w:pPr>
            <w:r w:rsidRPr="006C0CCB">
              <w:rPr>
                <w:rFonts w:ascii="Times New Roman" w:hAnsi="Times New Roman"/>
                <w:sz w:val="24"/>
                <w:szCs w:val="24"/>
              </w:rPr>
              <w:t>65</w:t>
            </w:r>
          </w:p>
        </w:tc>
        <w:tc>
          <w:tcPr>
            <w:tcW w:w="2322" w:type="dxa"/>
          </w:tcPr>
          <w:p w:rsidR="005D7A74" w:rsidRPr="006C0CCB" w:rsidRDefault="005D7A74" w:rsidP="006C0CCB">
            <w:pPr>
              <w:spacing w:after="0" w:line="240" w:lineRule="auto"/>
              <w:jc w:val="center"/>
              <w:rPr>
                <w:rFonts w:ascii="Times New Roman" w:hAnsi="Times New Roman"/>
                <w:sz w:val="24"/>
                <w:szCs w:val="24"/>
              </w:rPr>
            </w:pPr>
            <w:r w:rsidRPr="006C0CCB">
              <w:rPr>
                <w:rFonts w:ascii="Times New Roman" w:hAnsi="Times New Roman"/>
                <w:sz w:val="24"/>
                <w:szCs w:val="24"/>
              </w:rPr>
              <w:t>70</w:t>
            </w:r>
          </w:p>
        </w:tc>
        <w:tc>
          <w:tcPr>
            <w:tcW w:w="2072" w:type="dxa"/>
          </w:tcPr>
          <w:p w:rsidR="005D7A74" w:rsidRPr="006C0CCB" w:rsidRDefault="005D7A74" w:rsidP="006C0CCB">
            <w:pPr>
              <w:spacing w:after="0" w:line="240" w:lineRule="auto"/>
              <w:jc w:val="center"/>
              <w:rPr>
                <w:rFonts w:ascii="Times New Roman" w:hAnsi="Times New Roman"/>
                <w:sz w:val="24"/>
                <w:szCs w:val="24"/>
              </w:rPr>
            </w:pPr>
            <w:r w:rsidRPr="006C0CCB">
              <w:rPr>
                <w:rFonts w:ascii="Times New Roman" w:hAnsi="Times New Roman"/>
                <w:sz w:val="24"/>
                <w:szCs w:val="24"/>
              </w:rPr>
              <w:t>55</w:t>
            </w:r>
          </w:p>
        </w:tc>
      </w:tr>
      <w:tr w:rsidR="005D7A74" w:rsidRPr="006C0CCB" w:rsidTr="006C0CCB">
        <w:tc>
          <w:tcPr>
            <w:tcW w:w="3085" w:type="dxa"/>
          </w:tcPr>
          <w:p w:rsidR="005D7A74" w:rsidRPr="006C0CCB" w:rsidRDefault="005D7A74" w:rsidP="006C0CCB">
            <w:pPr>
              <w:spacing w:after="0" w:line="240" w:lineRule="auto"/>
              <w:rPr>
                <w:rFonts w:ascii="Times New Roman" w:hAnsi="Times New Roman"/>
                <w:sz w:val="24"/>
                <w:szCs w:val="24"/>
              </w:rPr>
            </w:pPr>
            <w:r w:rsidRPr="006C0CCB">
              <w:rPr>
                <w:rFonts w:ascii="Times New Roman" w:hAnsi="Times New Roman"/>
                <w:sz w:val="24"/>
                <w:szCs w:val="24"/>
              </w:rPr>
              <w:t>Уровень инфляции по итогам года, %</w:t>
            </w:r>
          </w:p>
        </w:tc>
        <w:tc>
          <w:tcPr>
            <w:tcW w:w="1701" w:type="dxa"/>
          </w:tcPr>
          <w:p w:rsidR="005D7A74" w:rsidRPr="006C0CCB" w:rsidRDefault="005D7A74" w:rsidP="006C0CCB">
            <w:pPr>
              <w:spacing w:after="0" w:line="240" w:lineRule="auto"/>
              <w:jc w:val="center"/>
              <w:rPr>
                <w:rFonts w:ascii="Times New Roman" w:hAnsi="Times New Roman"/>
                <w:sz w:val="24"/>
                <w:szCs w:val="24"/>
              </w:rPr>
            </w:pPr>
            <w:r w:rsidRPr="006C0CCB">
              <w:rPr>
                <w:rFonts w:ascii="Times New Roman" w:hAnsi="Times New Roman"/>
                <w:sz w:val="24"/>
                <w:szCs w:val="24"/>
              </w:rPr>
              <w:t>5-6</w:t>
            </w:r>
          </w:p>
        </w:tc>
        <w:tc>
          <w:tcPr>
            <w:tcW w:w="2322" w:type="dxa"/>
          </w:tcPr>
          <w:p w:rsidR="005D7A74" w:rsidRPr="006C0CCB" w:rsidRDefault="005D7A74" w:rsidP="006C0CCB">
            <w:pPr>
              <w:spacing w:after="0" w:line="240" w:lineRule="auto"/>
              <w:jc w:val="center"/>
              <w:rPr>
                <w:rFonts w:ascii="Times New Roman" w:hAnsi="Times New Roman"/>
                <w:sz w:val="24"/>
                <w:szCs w:val="24"/>
              </w:rPr>
            </w:pPr>
            <w:r w:rsidRPr="006C0CCB">
              <w:rPr>
                <w:rFonts w:ascii="Times New Roman" w:hAnsi="Times New Roman"/>
                <w:sz w:val="24"/>
                <w:szCs w:val="24"/>
              </w:rPr>
              <w:t>7-8</w:t>
            </w:r>
          </w:p>
        </w:tc>
        <w:tc>
          <w:tcPr>
            <w:tcW w:w="2072" w:type="dxa"/>
          </w:tcPr>
          <w:p w:rsidR="005D7A74" w:rsidRPr="006C0CCB" w:rsidRDefault="005D7A74" w:rsidP="006C0CCB">
            <w:pPr>
              <w:spacing w:after="0" w:line="240" w:lineRule="auto"/>
              <w:jc w:val="center"/>
              <w:rPr>
                <w:rFonts w:ascii="Times New Roman" w:hAnsi="Times New Roman"/>
                <w:sz w:val="24"/>
                <w:szCs w:val="24"/>
              </w:rPr>
            </w:pPr>
            <w:r w:rsidRPr="006C0CCB">
              <w:rPr>
                <w:rFonts w:ascii="Times New Roman" w:hAnsi="Times New Roman"/>
                <w:sz w:val="24"/>
                <w:szCs w:val="24"/>
              </w:rPr>
              <w:t>4</w:t>
            </w:r>
          </w:p>
        </w:tc>
      </w:tr>
      <w:tr w:rsidR="005D7A74" w:rsidRPr="006C0CCB" w:rsidTr="006C0CCB">
        <w:tc>
          <w:tcPr>
            <w:tcW w:w="3085" w:type="dxa"/>
          </w:tcPr>
          <w:p w:rsidR="005D7A74" w:rsidRPr="006C0CCB" w:rsidRDefault="005D7A74" w:rsidP="006C0CCB">
            <w:pPr>
              <w:spacing w:after="0" w:line="240" w:lineRule="auto"/>
              <w:rPr>
                <w:rFonts w:ascii="Times New Roman" w:hAnsi="Times New Roman"/>
                <w:sz w:val="24"/>
                <w:szCs w:val="24"/>
              </w:rPr>
            </w:pPr>
            <w:r w:rsidRPr="006C0CCB">
              <w:rPr>
                <w:rFonts w:ascii="Times New Roman" w:hAnsi="Times New Roman"/>
                <w:sz w:val="24"/>
                <w:szCs w:val="24"/>
              </w:rPr>
              <w:t>Ключевая ставка Банка России (на конец года), %</w:t>
            </w:r>
          </w:p>
        </w:tc>
        <w:tc>
          <w:tcPr>
            <w:tcW w:w="1701" w:type="dxa"/>
          </w:tcPr>
          <w:p w:rsidR="005D7A74" w:rsidRPr="006C0CCB" w:rsidRDefault="005D7A74" w:rsidP="006C0CCB">
            <w:pPr>
              <w:spacing w:after="0" w:line="240" w:lineRule="auto"/>
              <w:jc w:val="center"/>
              <w:rPr>
                <w:rFonts w:ascii="Times New Roman" w:hAnsi="Times New Roman"/>
                <w:sz w:val="24"/>
                <w:szCs w:val="24"/>
              </w:rPr>
            </w:pPr>
            <w:r w:rsidRPr="006C0CCB">
              <w:rPr>
                <w:rFonts w:ascii="Times New Roman" w:hAnsi="Times New Roman"/>
                <w:sz w:val="24"/>
                <w:szCs w:val="24"/>
              </w:rPr>
              <w:t>8,5-9</w:t>
            </w:r>
          </w:p>
        </w:tc>
        <w:tc>
          <w:tcPr>
            <w:tcW w:w="2322" w:type="dxa"/>
          </w:tcPr>
          <w:p w:rsidR="005D7A74" w:rsidRPr="006C0CCB" w:rsidRDefault="005D7A74" w:rsidP="006C0CCB">
            <w:pPr>
              <w:spacing w:after="0" w:line="240" w:lineRule="auto"/>
              <w:jc w:val="center"/>
              <w:rPr>
                <w:rFonts w:ascii="Times New Roman" w:hAnsi="Times New Roman"/>
                <w:sz w:val="24"/>
                <w:szCs w:val="24"/>
              </w:rPr>
            </w:pPr>
            <w:r w:rsidRPr="006C0CCB">
              <w:rPr>
                <w:rFonts w:ascii="Times New Roman" w:hAnsi="Times New Roman"/>
                <w:sz w:val="24"/>
                <w:szCs w:val="24"/>
              </w:rPr>
              <w:t>10-12</w:t>
            </w:r>
          </w:p>
        </w:tc>
        <w:tc>
          <w:tcPr>
            <w:tcW w:w="2072" w:type="dxa"/>
          </w:tcPr>
          <w:p w:rsidR="005D7A74" w:rsidRPr="006C0CCB" w:rsidRDefault="005D7A74" w:rsidP="006C0CCB">
            <w:pPr>
              <w:spacing w:after="0" w:line="240" w:lineRule="auto"/>
              <w:jc w:val="center"/>
              <w:rPr>
                <w:rFonts w:ascii="Times New Roman" w:hAnsi="Times New Roman"/>
                <w:sz w:val="24"/>
                <w:szCs w:val="24"/>
              </w:rPr>
            </w:pPr>
            <w:r w:rsidRPr="006C0CCB">
              <w:rPr>
                <w:rFonts w:ascii="Times New Roman" w:hAnsi="Times New Roman"/>
                <w:sz w:val="24"/>
                <w:szCs w:val="24"/>
              </w:rPr>
              <w:t>7-8</w:t>
            </w:r>
          </w:p>
        </w:tc>
      </w:tr>
    </w:tbl>
    <w:p w:rsidR="005D7A74" w:rsidRDefault="005D7A74" w:rsidP="007D7614">
      <w:pPr>
        <w:spacing w:after="0" w:line="360" w:lineRule="auto"/>
        <w:ind w:firstLine="709"/>
        <w:jc w:val="right"/>
        <w:rPr>
          <w:rFonts w:ascii="Times New Roman" w:hAnsi="Times New Roman"/>
          <w:sz w:val="28"/>
          <w:szCs w:val="20"/>
          <w:shd w:val="clear" w:color="auto" w:fill="FFFFFF"/>
        </w:rPr>
      </w:pPr>
      <w:r>
        <w:rPr>
          <w:rFonts w:ascii="Times New Roman" w:hAnsi="Times New Roman"/>
          <w:sz w:val="20"/>
          <w:szCs w:val="20"/>
          <w:shd w:val="clear" w:color="auto" w:fill="FFFFFF"/>
        </w:rPr>
        <w:t xml:space="preserve">Источник: </w:t>
      </w:r>
      <w:r>
        <w:rPr>
          <w:rFonts w:ascii="Times New Roman" w:hAnsi="Times New Roman"/>
          <w:sz w:val="20"/>
          <w:szCs w:val="20"/>
          <w:shd w:val="clear" w:color="auto" w:fill="FFFFFF"/>
          <w:lang w:val="en-US"/>
        </w:rPr>
        <w:t>RAEX</w:t>
      </w:r>
      <w:r w:rsidRPr="00431E91">
        <w:rPr>
          <w:rFonts w:ascii="Times New Roman" w:hAnsi="Times New Roman"/>
          <w:sz w:val="20"/>
          <w:szCs w:val="20"/>
          <w:shd w:val="clear" w:color="auto" w:fill="FFFFFF"/>
        </w:rPr>
        <w:t xml:space="preserve"> </w:t>
      </w:r>
      <w:r>
        <w:rPr>
          <w:rFonts w:ascii="Times New Roman" w:hAnsi="Times New Roman"/>
          <w:sz w:val="20"/>
          <w:szCs w:val="20"/>
          <w:shd w:val="clear" w:color="auto" w:fill="FFFFFF"/>
        </w:rPr>
        <w:t>(Эксперт РА)</w:t>
      </w:r>
    </w:p>
    <w:p w:rsidR="005D7A74" w:rsidRPr="008B6A06" w:rsidRDefault="005D7A74" w:rsidP="00714452">
      <w:pPr>
        <w:spacing w:after="0" w:line="360" w:lineRule="auto"/>
        <w:ind w:firstLine="709"/>
        <w:jc w:val="both"/>
        <w:rPr>
          <w:rFonts w:ascii="Times New Roman" w:hAnsi="Times New Roman"/>
          <w:sz w:val="24"/>
          <w:szCs w:val="24"/>
          <w:shd w:val="clear" w:color="auto" w:fill="FFFFFF"/>
        </w:rPr>
      </w:pPr>
    </w:p>
    <w:p w:rsidR="005D7A74" w:rsidRPr="00714452" w:rsidRDefault="005D7A74" w:rsidP="00714452">
      <w:pPr>
        <w:spacing w:after="0" w:line="360" w:lineRule="auto"/>
        <w:ind w:firstLine="709"/>
        <w:jc w:val="both"/>
        <w:rPr>
          <w:rFonts w:ascii="Times New Roman" w:hAnsi="Times New Roman"/>
          <w:sz w:val="28"/>
          <w:szCs w:val="20"/>
          <w:shd w:val="clear" w:color="auto" w:fill="FFFFFF"/>
        </w:rPr>
      </w:pPr>
      <w:r w:rsidRPr="00714452">
        <w:rPr>
          <w:rFonts w:ascii="Times New Roman" w:hAnsi="Times New Roman"/>
          <w:sz w:val="28"/>
          <w:szCs w:val="20"/>
          <w:shd w:val="clear" w:color="auto" w:fill="FFFFFF"/>
        </w:rPr>
        <w:t xml:space="preserve">По базовому сценарию </w:t>
      </w:r>
      <w:r w:rsidRPr="00714452">
        <w:rPr>
          <w:rFonts w:ascii="Times New Roman" w:hAnsi="Times New Roman"/>
          <w:sz w:val="28"/>
          <w:szCs w:val="20"/>
          <w:shd w:val="clear" w:color="auto" w:fill="FFFFFF"/>
          <w:lang w:val="en-US"/>
        </w:rPr>
        <w:t>RAEX</w:t>
      </w:r>
      <w:r w:rsidRPr="00714452">
        <w:rPr>
          <w:rFonts w:ascii="Times New Roman" w:hAnsi="Times New Roman"/>
          <w:sz w:val="28"/>
          <w:szCs w:val="20"/>
          <w:shd w:val="clear" w:color="auto" w:fill="FFFFFF"/>
        </w:rPr>
        <w:t xml:space="preserve"> (Эксперт РА) в 2017 году совокупный кредитный портфель прибавит 6% на фоне замедления инфляции и удешевления фондирования (</w:t>
      </w:r>
      <w:r>
        <w:rPr>
          <w:rFonts w:ascii="Times New Roman" w:hAnsi="Times New Roman"/>
          <w:sz w:val="28"/>
          <w:szCs w:val="20"/>
          <w:shd w:val="clear" w:color="auto" w:fill="FFFFFF"/>
        </w:rPr>
        <w:t>рис.</w:t>
      </w:r>
      <w:r w:rsidRPr="00714452">
        <w:rPr>
          <w:rFonts w:ascii="Times New Roman" w:hAnsi="Times New Roman"/>
          <w:sz w:val="28"/>
          <w:szCs w:val="20"/>
          <w:shd w:val="clear" w:color="auto" w:fill="FFFFFF"/>
        </w:rPr>
        <w:t xml:space="preserve"> 1). По базовому сценарию благодаря удешевлению фондирования, банки смогут продолжить снижение ставок, что приведет к росту всех сегментов кредитования, за исключением необеспеченных потребкредитов. По необеспеченным потребкредитам ожида</w:t>
      </w:r>
      <w:r>
        <w:rPr>
          <w:rFonts w:ascii="Times New Roman" w:hAnsi="Times New Roman"/>
          <w:sz w:val="28"/>
          <w:szCs w:val="20"/>
          <w:shd w:val="clear" w:color="auto" w:fill="FFFFFF"/>
        </w:rPr>
        <w:t>ются</w:t>
      </w:r>
      <w:r w:rsidRPr="00714452">
        <w:rPr>
          <w:rFonts w:ascii="Times New Roman" w:hAnsi="Times New Roman"/>
          <w:sz w:val="28"/>
          <w:szCs w:val="20"/>
          <w:shd w:val="clear" w:color="auto" w:fill="FFFFFF"/>
        </w:rPr>
        <w:t xml:space="preserve"> темпы прироста близкие к нулю из-за ужесточения регулирования коллекторской деятельно</w:t>
      </w:r>
      <w:r>
        <w:rPr>
          <w:rFonts w:ascii="Times New Roman" w:hAnsi="Times New Roman"/>
          <w:sz w:val="28"/>
          <w:szCs w:val="20"/>
          <w:shd w:val="clear" w:color="auto" w:fill="FFFFFF"/>
        </w:rPr>
        <w:t>сти в 2017 году.</w:t>
      </w:r>
    </w:p>
    <w:p w:rsidR="005D7A74" w:rsidRDefault="005D7A74" w:rsidP="00714452">
      <w:pPr>
        <w:spacing w:after="0" w:line="360" w:lineRule="auto"/>
        <w:jc w:val="both"/>
        <w:rPr>
          <w:rFonts w:ascii="Times New Roman" w:hAnsi="Times New Roman"/>
          <w:sz w:val="28"/>
          <w:szCs w:val="20"/>
          <w:shd w:val="clear" w:color="auto" w:fill="FFFFFF"/>
          <w:lang w:val="en-US"/>
        </w:rPr>
      </w:pPr>
      <w:r w:rsidRPr="006773B8">
        <w:rPr>
          <w:rFonts w:ascii="Times New Roman" w:hAnsi="Times New Roman"/>
          <w:noProof/>
          <w:sz w:val="28"/>
          <w:szCs w:val="20"/>
          <w:shd w:val="clear" w:color="auto" w:fill="FFFFFF"/>
          <w:lang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3" o:spid="_x0000_i1025" type="#_x0000_t75" style="width:447.75pt;height:328.5pt;visibility:visible">
            <v:imagedata r:id="rId9" o:title=""/>
          </v:shape>
        </w:pict>
      </w:r>
    </w:p>
    <w:p w:rsidR="005D7A74" w:rsidRPr="00431E91" w:rsidRDefault="005D7A74" w:rsidP="00431E91">
      <w:pPr>
        <w:spacing w:after="0" w:line="360" w:lineRule="auto"/>
        <w:ind w:firstLine="709"/>
        <w:jc w:val="right"/>
        <w:rPr>
          <w:rFonts w:ascii="Times New Roman" w:hAnsi="Times New Roman"/>
          <w:sz w:val="20"/>
          <w:szCs w:val="20"/>
          <w:shd w:val="clear" w:color="auto" w:fill="FFFFFF"/>
        </w:rPr>
      </w:pPr>
      <w:r>
        <w:rPr>
          <w:rFonts w:ascii="Times New Roman" w:hAnsi="Times New Roman"/>
          <w:sz w:val="20"/>
          <w:szCs w:val="20"/>
          <w:shd w:val="clear" w:color="auto" w:fill="FFFFFF"/>
        </w:rPr>
        <w:t xml:space="preserve">Источник: </w:t>
      </w:r>
      <w:r>
        <w:rPr>
          <w:rFonts w:ascii="Times New Roman" w:hAnsi="Times New Roman"/>
          <w:sz w:val="20"/>
          <w:szCs w:val="20"/>
          <w:shd w:val="clear" w:color="auto" w:fill="FFFFFF"/>
          <w:lang w:val="en-US"/>
        </w:rPr>
        <w:t>RAEX</w:t>
      </w:r>
      <w:r w:rsidRPr="00431E91">
        <w:rPr>
          <w:rFonts w:ascii="Times New Roman" w:hAnsi="Times New Roman"/>
          <w:sz w:val="20"/>
          <w:szCs w:val="20"/>
          <w:shd w:val="clear" w:color="auto" w:fill="FFFFFF"/>
        </w:rPr>
        <w:t xml:space="preserve"> </w:t>
      </w:r>
      <w:r>
        <w:rPr>
          <w:rFonts w:ascii="Times New Roman" w:hAnsi="Times New Roman"/>
          <w:sz w:val="20"/>
          <w:szCs w:val="20"/>
          <w:shd w:val="clear" w:color="auto" w:fill="FFFFFF"/>
        </w:rPr>
        <w:t>(Эксперт РА), по данным Банка России</w:t>
      </w:r>
    </w:p>
    <w:p w:rsidR="005D7A74" w:rsidRDefault="005D7A74" w:rsidP="00714452">
      <w:pPr>
        <w:spacing w:after="0" w:line="360" w:lineRule="auto"/>
        <w:ind w:firstLine="709"/>
        <w:jc w:val="both"/>
        <w:rPr>
          <w:rFonts w:ascii="Times New Roman" w:hAnsi="Times New Roman"/>
          <w:sz w:val="28"/>
          <w:szCs w:val="20"/>
          <w:shd w:val="clear" w:color="auto" w:fill="FFFFFF"/>
        </w:rPr>
      </w:pPr>
      <w:r>
        <w:rPr>
          <w:rFonts w:ascii="Times New Roman" w:hAnsi="Times New Roman"/>
          <w:sz w:val="28"/>
          <w:szCs w:val="20"/>
          <w:shd w:val="clear" w:color="auto" w:fill="FFFFFF"/>
        </w:rPr>
        <w:t>Рисунок 1 – Динамика активов банков в 2011-2018 гг. (прогноз)</w:t>
      </w:r>
    </w:p>
    <w:p w:rsidR="005D7A74" w:rsidRDefault="005D7A74" w:rsidP="00714452">
      <w:pPr>
        <w:spacing w:after="0" w:line="360" w:lineRule="auto"/>
        <w:ind w:firstLine="709"/>
        <w:jc w:val="both"/>
        <w:rPr>
          <w:rFonts w:ascii="Times New Roman" w:hAnsi="Times New Roman"/>
          <w:sz w:val="28"/>
          <w:szCs w:val="20"/>
          <w:shd w:val="clear" w:color="auto" w:fill="FFFFFF"/>
        </w:rPr>
      </w:pPr>
    </w:p>
    <w:p w:rsidR="005D7A74" w:rsidRPr="00714452" w:rsidRDefault="005D7A74" w:rsidP="00714452">
      <w:pPr>
        <w:spacing w:after="0" w:line="360" w:lineRule="auto"/>
        <w:ind w:firstLine="709"/>
        <w:jc w:val="both"/>
        <w:rPr>
          <w:rFonts w:ascii="Times New Roman" w:hAnsi="Times New Roman"/>
          <w:sz w:val="28"/>
          <w:szCs w:val="20"/>
          <w:shd w:val="clear" w:color="auto" w:fill="FFFFFF"/>
        </w:rPr>
      </w:pPr>
      <w:r w:rsidRPr="00714452">
        <w:rPr>
          <w:rFonts w:ascii="Times New Roman" w:hAnsi="Times New Roman"/>
          <w:sz w:val="28"/>
          <w:szCs w:val="20"/>
          <w:shd w:val="clear" w:color="auto" w:fill="FFFFFF"/>
        </w:rPr>
        <w:t>Несмотря на снижение, процентные ставки останутся сравнительно высокими (</w:t>
      </w:r>
      <w:r>
        <w:rPr>
          <w:rFonts w:ascii="Times New Roman" w:hAnsi="Times New Roman"/>
          <w:sz w:val="28"/>
          <w:szCs w:val="20"/>
          <w:shd w:val="clear" w:color="auto" w:fill="FFFFFF"/>
        </w:rPr>
        <w:t>рис.</w:t>
      </w:r>
      <w:r w:rsidRPr="00714452">
        <w:rPr>
          <w:rFonts w:ascii="Times New Roman" w:hAnsi="Times New Roman"/>
          <w:sz w:val="28"/>
          <w:szCs w:val="20"/>
          <w:shd w:val="clear" w:color="auto" w:fill="FFFFFF"/>
        </w:rPr>
        <w:t xml:space="preserve"> 2), что сделает восстановление кредитных портфелей достаточно робким. Кредиты крупному бизнесу прибавят около 7%, МСБ – порядка 5%. В свою очередь, портфель ипотечных кредитов замедлит темпы прироста до 9% в связи с завершением госпрограммы субсидирования ставки и ростом цен на первичное жилье в результате изменений в законодательстве о долевом строительстве. В рамках негативного сценария кредиты крупному бизнесу покажут падение на 4% (без учета валютной переоценки), сокращение портфелей МСБ и необеспеченных потребкредитов достигнет 3% и 8% соответственно, а портфель ипотеки вырастет на 6-7%. </w:t>
      </w:r>
    </w:p>
    <w:p w:rsidR="005D7A74" w:rsidRDefault="005D7A74" w:rsidP="00B87CFE">
      <w:pPr>
        <w:spacing w:after="0" w:line="360" w:lineRule="auto"/>
        <w:jc w:val="both"/>
        <w:rPr>
          <w:rFonts w:ascii="Times New Roman" w:hAnsi="Times New Roman"/>
          <w:sz w:val="28"/>
          <w:szCs w:val="20"/>
          <w:shd w:val="clear" w:color="auto" w:fill="FFFFFF"/>
        </w:rPr>
      </w:pPr>
      <w:r w:rsidRPr="006773B8">
        <w:rPr>
          <w:rFonts w:ascii="Times New Roman" w:hAnsi="Times New Roman"/>
          <w:noProof/>
          <w:sz w:val="28"/>
          <w:szCs w:val="20"/>
          <w:shd w:val="clear" w:color="auto" w:fill="FFFFFF"/>
          <w:lang w:eastAsia="ru-RU"/>
        </w:rPr>
        <w:pict>
          <v:shape id="Рисунок 5" o:spid="_x0000_i1026" type="#_x0000_t75" style="width:447.75pt;height:237pt;visibility:visible">
            <v:imagedata r:id="rId10" o:title="" croptop="9188f" cropbottom="1907f"/>
          </v:shape>
        </w:pict>
      </w:r>
    </w:p>
    <w:p w:rsidR="005D7A74" w:rsidRPr="00431E91" w:rsidRDefault="005D7A74" w:rsidP="00E51CCF">
      <w:pPr>
        <w:spacing w:after="0" w:line="360" w:lineRule="auto"/>
        <w:ind w:firstLine="709"/>
        <w:jc w:val="right"/>
        <w:rPr>
          <w:rFonts w:ascii="Times New Roman" w:hAnsi="Times New Roman"/>
          <w:sz w:val="20"/>
          <w:szCs w:val="20"/>
          <w:shd w:val="clear" w:color="auto" w:fill="FFFFFF"/>
        </w:rPr>
      </w:pPr>
      <w:r>
        <w:rPr>
          <w:rFonts w:ascii="Times New Roman" w:hAnsi="Times New Roman"/>
          <w:sz w:val="20"/>
          <w:szCs w:val="20"/>
          <w:shd w:val="clear" w:color="auto" w:fill="FFFFFF"/>
        </w:rPr>
        <w:t xml:space="preserve">Источник: </w:t>
      </w:r>
      <w:r>
        <w:rPr>
          <w:rFonts w:ascii="Times New Roman" w:hAnsi="Times New Roman"/>
          <w:sz w:val="20"/>
          <w:szCs w:val="20"/>
          <w:shd w:val="clear" w:color="auto" w:fill="FFFFFF"/>
          <w:lang w:val="en-US"/>
        </w:rPr>
        <w:t>RAEX</w:t>
      </w:r>
      <w:r w:rsidRPr="00431E91">
        <w:rPr>
          <w:rFonts w:ascii="Times New Roman" w:hAnsi="Times New Roman"/>
          <w:sz w:val="20"/>
          <w:szCs w:val="20"/>
          <w:shd w:val="clear" w:color="auto" w:fill="FFFFFF"/>
        </w:rPr>
        <w:t xml:space="preserve"> </w:t>
      </w:r>
      <w:r>
        <w:rPr>
          <w:rFonts w:ascii="Times New Roman" w:hAnsi="Times New Roman"/>
          <w:sz w:val="20"/>
          <w:szCs w:val="20"/>
          <w:shd w:val="clear" w:color="auto" w:fill="FFFFFF"/>
        </w:rPr>
        <w:t>(Эксперт РА), по данным Банка России</w:t>
      </w:r>
    </w:p>
    <w:p w:rsidR="005D7A74" w:rsidRDefault="005D7A74" w:rsidP="00714452">
      <w:pPr>
        <w:spacing w:after="0" w:line="360" w:lineRule="auto"/>
        <w:ind w:firstLine="709"/>
        <w:jc w:val="both"/>
        <w:rPr>
          <w:rFonts w:ascii="Times New Roman" w:hAnsi="Times New Roman"/>
          <w:sz w:val="28"/>
          <w:szCs w:val="20"/>
          <w:shd w:val="clear" w:color="auto" w:fill="FFFFFF"/>
        </w:rPr>
      </w:pPr>
      <w:r>
        <w:rPr>
          <w:rFonts w:ascii="Times New Roman" w:hAnsi="Times New Roman"/>
          <w:sz w:val="28"/>
          <w:szCs w:val="20"/>
          <w:shd w:val="clear" w:color="auto" w:fill="FFFFFF"/>
        </w:rPr>
        <w:t>Рисунок 2. Средневзвешенная ставка по кредитам в 2014-2018 гг. (прогноз).</w:t>
      </w:r>
    </w:p>
    <w:p w:rsidR="005D7A74" w:rsidRDefault="005D7A74" w:rsidP="00714452">
      <w:pPr>
        <w:spacing w:after="0" w:line="360" w:lineRule="auto"/>
        <w:ind w:firstLine="709"/>
        <w:jc w:val="both"/>
        <w:rPr>
          <w:rFonts w:ascii="Times New Roman" w:hAnsi="Times New Roman"/>
          <w:sz w:val="28"/>
          <w:szCs w:val="20"/>
          <w:shd w:val="clear" w:color="auto" w:fill="FFFFFF"/>
        </w:rPr>
      </w:pPr>
    </w:p>
    <w:p w:rsidR="005D7A74" w:rsidRDefault="005D7A74" w:rsidP="007D7614">
      <w:pPr>
        <w:spacing w:after="0" w:line="360" w:lineRule="auto"/>
        <w:ind w:firstLine="709"/>
        <w:jc w:val="both"/>
        <w:rPr>
          <w:rFonts w:ascii="Times New Roman" w:hAnsi="Times New Roman"/>
          <w:sz w:val="28"/>
          <w:szCs w:val="20"/>
          <w:shd w:val="clear" w:color="auto" w:fill="FFFFFF"/>
        </w:rPr>
      </w:pPr>
      <w:r w:rsidRPr="00714452">
        <w:rPr>
          <w:rFonts w:ascii="Times New Roman" w:hAnsi="Times New Roman"/>
          <w:sz w:val="28"/>
          <w:szCs w:val="20"/>
          <w:shd w:val="clear" w:color="auto" w:fill="FFFFFF"/>
        </w:rPr>
        <w:t>Позитивный сценарий предусматривает рост портфеля кредитов МСБ на 7%, кредитов крупному бизнесу – на 11%, необеспеченных потребкредитов - на 3%, ипотеки – на 14%</w:t>
      </w:r>
      <w:r>
        <w:rPr>
          <w:rFonts w:ascii="Times New Roman" w:hAnsi="Times New Roman"/>
          <w:sz w:val="28"/>
          <w:szCs w:val="20"/>
          <w:shd w:val="clear" w:color="auto" w:fill="FFFFFF"/>
        </w:rPr>
        <w:t xml:space="preserve"> </w:t>
      </w:r>
      <w:r w:rsidRPr="008B6A06">
        <w:rPr>
          <w:rFonts w:ascii="Times New Roman" w:hAnsi="Times New Roman"/>
          <w:sz w:val="28"/>
          <w:szCs w:val="20"/>
          <w:shd w:val="clear" w:color="auto" w:fill="FFFFFF"/>
        </w:rPr>
        <w:t>[5]</w:t>
      </w:r>
      <w:r w:rsidRPr="00714452">
        <w:rPr>
          <w:rFonts w:ascii="Times New Roman" w:hAnsi="Times New Roman"/>
          <w:sz w:val="28"/>
          <w:szCs w:val="20"/>
          <w:shd w:val="clear" w:color="auto" w:fill="FFFFFF"/>
        </w:rPr>
        <w:t>.</w:t>
      </w:r>
    </w:p>
    <w:p w:rsidR="005D7A74" w:rsidRDefault="005D7A74" w:rsidP="000D4BAB">
      <w:pPr>
        <w:spacing w:after="0" w:line="360" w:lineRule="auto"/>
        <w:ind w:firstLine="709"/>
        <w:jc w:val="both"/>
        <w:rPr>
          <w:rFonts w:ascii="Times New Roman" w:hAnsi="Times New Roman"/>
          <w:sz w:val="28"/>
          <w:szCs w:val="20"/>
          <w:shd w:val="clear" w:color="auto" w:fill="FFFFFF"/>
        </w:rPr>
      </w:pPr>
      <w:r w:rsidRPr="00714452">
        <w:rPr>
          <w:rFonts w:ascii="Times New Roman" w:hAnsi="Times New Roman"/>
          <w:sz w:val="28"/>
          <w:szCs w:val="20"/>
          <w:shd w:val="clear" w:color="auto" w:fill="FFFFFF"/>
        </w:rPr>
        <w:t>Несмотря на снижение отчислений в резервы, ключевой проблемой банков остается слабый запас капитала, что нашло свое отражение в рейтинговых действиях</w:t>
      </w:r>
      <w:r w:rsidRPr="008B6A06">
        <w:rPr>
          <w:rFonts w:ascii="Times New Roman" w:hAnsi="Times New Roman"/>
          <w:sz w:val="28"/>
          <w:szCs w:val="20"/>
          <w:shd w:val="clear" w:color="auto" w:fill="FFFFFF"/>
        </w:rPr>
        <w:t>.</w:t>
      </w:r>
      <w:r w:rsidRPr="00714452">
        <w:rPr>
          <w:rFonts w:ascii="Times New Roman" w:hAnsi="Times New Roman"/>
          <w:sz w:val="28"/>
          <w:szCs w:val="20"/>
          <w:shd w:val="clear" w:color="auto" w:fill="FFFFFF"/>
        </w:rPr>
        <w:t xml:space="preserve"> За 9 мес. 2016 года отчисления банков в резервы были в два раза меньше аналогичного периода 2015 года и на 25% меньше 2014 года, что привело к дальнейшему снижению покрыт</w:t>
      </w:r>
      <w:r>
        <w:rPr>
          <w:rFonts w:ascii="Times New Roman" w:hAnsi="Times New Roman"/>
          <w:sz w:val="28"/>
          <w:szCs w:val="20"/>
          <w:shd w:val="clear" w:color="auto" w:fill="FFFFFF"/>
        </w:rPr>
        <w:t>ия обесцененных ссуд резервами</w:t>
      </w:r>
      <w:r w:rsidRPr="00714452">
        <w:rPr>
          <w:rFonts w:ascii="Times New Roman" w:hAnsi="Times New Roman"/>
          <w:sz w:val="28"/>
          <w:szCs w:val="20"/>
          <w:shd w:val="clear" w:color="auto" w:fill="FFFFFF"/>
        </w:rPr>
        <w:t>.</w:t>
      </w:r>
    </w:p>
    <w:p w:rsidR="005D7A74" w:rsidRDefault="005D7A74" w:rsidP="00714452">
      <w:pPr>
        <w:spacing w:after="0" w:line="360" w:lineRule="auto"/>
        <w:ind w:firstLine="709"/>
        <w:jc w:val="both"/>
        <w:rPr>
          <w:rFonts w:ascii="Times New Roman" w:hAnsi="Times New Roman"/>
          <w:sz w:val="28"/>
          <w:szCs w:val="20"/>
          <w:shd w:val="clear" w:color="auto" w:fill="FFFFFF"/>
        </w:rPr>
      </w:pPr>
      <w:r w:rsidRPr="00714452">
        <w:rPr>
          <w:rFonts w:ascii="Times New Roman" w:hAnsi="Times New Roman"/>
          <w:sz w:val="28"/>
          <w:szCs w:val="20"/>
          <w:shd w:val="clear" w:color="auto" w:fill="FFFFFF"/>
        </w:rPr>
        <w:t>При этом по итогам 9 мес. 2016 года около трети банков являются убыточными в результате резервирования проблемных кредитов. Причем в этот период количество убыточных кредитных организаций почти удвоилось (</w:t>
      </w:r>
      <w:r>
        <w:rPr>
          <w:rFonts w:ascii="Times New Roman" w:hAnsi="Times New Roman"/>
          <w:sz w:val="28"/>
          <w:szCs w:val="20"/>
          <w:shd w:val="clear" w:color="auto" w:fill="FFFFFF"/>
        </w:rPr>
        <w:t>рис. 3</w:t>
      </w:r>
      <w:r w:rsidRPr="00714452">
        <w:rPr>
          <w:rFonts w:ascii="Times New Roman" w:hAnsi="Times New Roman"/>
          <w:sz w:val="28"/>
          <w:szCs w:val="20"/>
          <w:shd w:val="clear" w:color="auto" w:fill="FFFFFF"/>
        </w:rPr>
        <w:t>).</w:t>
      </w:r>
    </w:p>
    <w:p w:rsidR="005D7A74" w:rsidRPr="00431E91" w:rsidRDefault="005D7A74" w:rsidP="000D4BAB">
      <w:pPr>
        <w:spacing w:after="0" w:line="360" w:lineRule="auto"/>
        <w:jc w:val="right"/>
        <w:rPr>
          <w:rFonts w:ascii="Times New Roman" w:hAnsi="Times New Roman"/>
          <w:sz w:val="20"/>
          <w:szCs w:val="20"/>
          <w:shd w:val="clear" w:color="auto" w:fill="FFFFFF"/>
        </w:rPr>
      </w:pPr>
      <w:r w:rsidRPr="006773B8">
        <w:rPr>
          <w:rFonts w:ascii="Times New Roman" w:hAnsi="Times New Roman"/>
          <w:noProof/>
          <w:sz w:val="28"/>
          <w:szCs w:val="20"/>
          <w:shd w:val="clear" w:color="auto" w:fill="FFFFFF"/>
          <w:lang w:eastAsia="ru-RU"/>
        </w:rPr>
        <w:pict>
          <v:shape id="Рисунок 7" o:spid="_x0000_i1027" type="#_x0000_t75" style="width:434.25pt;height:245.25pt;visibility:visible">
            <v:imagedata r:id="rId11" o:title="" croptop="10315f" cropbottom="1671f"/>
          </v:shape>
        </w:pict>
      </w:r>
      <w:r>
        <w:rPr>
          <w:rFonts w:ascii="Times New Roman" w:hAnsi="Times New Roman"/>
          <w:sz w:val="20"/>
          <w:szCs w:val="20"/>
          <w:shd w:val="clear" w:color="auto" w:fill="FFFFFF"/>
        </w:rPr>
        <w:t xml:space="preserve">Источник: </w:t>
      </w:r>
      <w:r>
        <w:rPr>
          <w:rFonts w:ascii="Times New Roman" w:hAnsi="Times New Roman"/>
          <w:sz w:val="20"/>
          <w:szCs w:val="20"/>
          <w:shd w:val="clear" w:color="auto" w:fill="FFFFFF"/>
          <w:lang w:val="en-US"/>
        </w:rPr>
        <w:t>RAEX</w:t>
      </w:r>
      <w:r w:rsidRPr="00431E91">
        <w:rPr>
          <w:rFonts w:ascii="Times New Roman" w:hAnsi="Times New Roman"/>
          <w:sz w:val="20"/>
          <w:szCs w:val="20"/>
          <w:shd w:val="clear" w:color="auto" w:fill="FFFFFF"/>
        </w:rPr>
        <w:t xml:space="preserve"> </w:t>
      </w:r>
      <w:r>
        <w:rPr>
          <w:rFonts w:ascii="Times New Roman" w:hAnsi="Times New Roman"/>
          <w:sz w:val="20"/>
          <w:szCs w:val="20"/>
          <w:shd w:val="clear" w:color="auto" w:fill="FFFFFF"/>
        </w:rPr>
        <w:t>(Эксперт РА), по данным Банка России</w:t>
      </w:r>
    </w:p>
    <w:p w:rsidR="005D7A74" w:rsidRDefault="005D7A74" w:rsidP="000D4BAB">
      <w:pPr>
        <w:spacing w:after="0" w:line="360" w:lineRule="auto"/>
        <w:ind w:firstLine="709"/>
        <w:jc w:val="both"/>
        <w:rPr>
          <w:rFonts w:ascii="Times New Roman" w:hAnsi="Times New Roman"/>
          <w:sz w:val="28"/>
          <w:szCs w:val="20"/>
          <w:shd w:val="clear" w:color="auto" w:fill="FFFFFF"/>
        </w:rPr>
      </w:pPr>
      <w:r>
        <w:rPr>
          <w:rFonts w:ascii="Times New Roman" w:hAnsi="Times New Roman"/>
          <w:sz w:val="28"/>
          <w:szCs w:val="20"/>
          <w:shd w:val="clear" w:color="auto" w:fill="FFFFFF"/>
        </w:rPr>
        <w:t>Рисунок 3. Динамика численности кредитных организаций в РФ</w:t>
      </w:r>
    </w:p>
    <w:p w:rsidR="005D7A74" w:rsidRPr="00C84F33" w:rsidRDefault="005D7A74" w:rsidP="00714452">
      <w:pPr>
        <w:spacing w:after="0" w:line="360" w:lineRule="auto"/>
        <w:ind w:firstLine="709"/>
        <w:jc w:val="both"/>
        <w:rPr>
          <w:rFonts w:ascii="Times New Roman" w:hAnsi="Times New Roman"/>
          <w:sz w:val="28"/>
          <w:szCs w:val="20"/>
          <w:shd w:val="clear" w:color="auto" w:fill="FFFFFF"/>
        </w:rPr>
      </w:pPr>
    </w:p>
    <w:p w:rsidR="005D7A74" w:rsidRDefault="005D7A74" w:rsidP="00714452">
      <w:pPr>
        <w:spacing w:after="0" w:line="360" w:lineRule="auto"/>
        <w:ind w:firstLine="709"/>
        <w:jc w:val="both"/>
        <w:rPr>
          <w:rFonts w:ascii="Times New Roman" w:hAnsi="Times New Roman"/>
          <w:sz w:val="28"/>
          <w:szCs w:val="20"/>
          <w:shd w:val="clear" w:color="auto" w:fill="FFFFFF"/>
        </w:rPr>
      </w:pPr>
      <w:r w:rsidRPr="00714452">
        <w:rPr>
          <w:rFonts w:ascii="Times New Roman" w:hAnsi="Times New Roman"/>
          <w:sz w:val="28"/>
          <w:szCs w:val="20"/>
          <w:shd w:val="clear" w:color="auto" w:fill="FFFFFF"/>
        </w:rPr>
        <w:t>Неудивительно, что большая часть негативных рейтинговых действий</w:t>
      </w:r>
      <w:r>
        <w:rPr>
          <w:rFonts w:ascii="Times New Roman" w:hAnsi="Times New Roman"/>
          <w:sz w:val="28"/>
          <w:szCs w:val="20"/>
          <w:shd w:val="clear" w:color="auto" w:fill="FFFFFF"/>
        </w:rPr>
        <w:t xml:space="preserve"> </w:t>
      </w:r>
      <w:r w:rsidRPr="00714452">
        <w:rPr>
          <w:rFonts w:ascii="Times New Roman" w:hAnsi="Times New Roman"/>
          <w:sz w:val="28"/>
          <w:szCs w:val="20"/>
          <w:shd w:val="clear" w:color="auto" w:fill="FFFFFF"/>
        </w:rPr>
        <w:t>Эксперт РА с июня по декабрь 2016 года была обусловлена низкой устойчивостью капитала к обесценению активов вследствие ухудшения их качества. В результате «индикатор здоровья» банковского сектора</w:t>
      </w:r>
      <w:r>
        <w:rPr>
          <w:rFonts w:ascii="Times New Roman" w:hAnsi="Times New Roman"/>
          <w:sz w:val="28"/>
          <w:szCs w:val="20"/>
          <w:shd w:val="clear" w:color="auto" w:fill="FFFFFF"/>
        </w:rPr>
        <w:t xml:space="preserve"> (1)</w:t>
      </w:r>
      <w:r w:rsidRPr="00714452">
        <w:rPr>
          <w:rFonts w:ascii="Times New Roman" w:hAnsi="Times New Roman"/>
          <w:sz w:val="28"/>
          <w:szCs w:val="20"/>
          <w:shd w:val="clear" w:color="auto" w:fill="FFFFFF"/>
        </w:rPr>
        <w:t>, рассчитанный на основе рейтинговых действий Эксперт РА, ненадолго показал позитивную динамику, но по</w:t>
      </w:r>
      <w:r>
        <w:rPr>
          <w:rFonts w:ascii="Times New Roman" w:hAnsi="Times New Roman"/>
          <w:sz w:val="28"/>
          <w:szCs w:val="20"/>
          <w:shd w:val="clear" w:color="auto" w:fill="FFFFFF"/>
        </w:rPr>
        <w:t xml:space="preserve"> итогам 4 кв. 2016 снова вернулся</w:t>
      </w:r>
      <w:r w:rsidRPr="00714452">
        <w:rPr>
          <w:rFonts w:ascii="Times New Roman" w:hAnsi="Times New Roman"/>
          <w:sz w:val="28"/>
          <w:szCs w:val="20"/>
          <w:shd w:val="clear" w:color="auto" w:fill="FFFFFF"/>
        </w:rPr>
        <w:t xml:space="preserve"> на уровень начала 2015 года (</w:t>
      </w:r>
      <w:r>
        <w:rPr>
          <w:rFonts w:ascii="Times New Roman" w:hAnsi="Times New Roman"/>
          <w:sz w:val="28"/>
          <w:szCs w:val="20"/>
          <w:shd w:val="clear" w:color="auto" w:fill="FFFFFF"/>
        </w:rPr>
        <w:t>рис. 5).</w:t>
      </w:r>
    </w:p>
    <w:p w:rsidR="005D7A74" w:rsidRDefault="005D7A74" w:rsidP="00714452">
      <w:pPr>
        <w:spacing w:after="0" w:line="360" w:lineRule="auto"/>
        <w:ind w:firstLine="709"/>
        <w:jc w:val="both"/>
        <w:rPr>
          <w:rFonts w:ascii="Times New Roman" w:hAnsi="Times New Roman"/>
          <w:sz w:val="28"/>
          <w:szCs w:val="20"/>
          <w:shd w:val="clear" w:color="auto" w:fill="FFFFFF"/>
        </w:rPr>
      </w:pPr>
    </w:p>
    <w:p w:rsidR="005D7A74" w:rsidRPr="00F93270" w:rsidRDefault="005D7A74" w:rsidP="00F93270">
      <w:pPr>
        <w:spacing w:after="0" w:line="360" w:lineRule="auto"/>
        <w:ind w:firstLine="709"/>
        <w:jc w:val="both"/>
        <w:rPr>
          <w:rFonts w:ascii="Times New Roman" w:hAnsi="Times New Roman"/>
          <w:sz w:val="28"/>
          <w:szCs w:val="20"/>
          <w:shd w:val="clear" w:color="auto" w:fill="FFFFFF"/>
        </w:rPr>
      </w:pPr>
      <w:r w:rsidRPr="006C0CCB">
        <w:rPr>
          <w:rFonts w:ascii="Times New Roman" w:hAnsi="Times New Roman"/>
          <w:sz w:val="24"/>
          <w:szCs w:val="24"/>
          <w:shd w:val="clear" w:color="auto" w:fill="FFFFFF"/>
        </w:rPr>
        <w:fldChar w:fldCharType="begin"/>
      </w:r>
      <w:r w:rsidRPr="006C0CCB">
        <w:rPr>
          <w:rFonts w:ascii="Times New Roman" w:hAnsi="Times New Roman"/>
          <w:sz w:val="24"/>
          <w:szCs w:val="24"/>
          <w:shd w:val="clear" w:color="auto" w:fill="FFFFFF"/>
        </w:rPr>
        <w:instrText xml:space="preserve"> QUOTE </w:instrText>
      </w:r>
      <w:r>
        <w:pict>
          <v:shape id="_x0000_i1028" type="#_x0000_t75" style="width:415.5pt;height:41.25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C26045&quot;/&gt;&lt;wsp:rsid wsp:val=&quot;00067746&quot;/&gt;&lt;wsp:rsid wsp:val=&quot;00070CF1&quot;/&gt;&lt;wsp:rsid wsp:val=&quot;000B189E&quot;/&gt;&lt;wsp:rsid wsp:val=&quot;000B4639&quot;/&gt;&lt;wsp:rsid wsp:val=&quot;000D4BAB&quot;/&gt;&lt;wsp:rsid wsp:val=&quot;00102FAD&quot;/&gt;&lt;wsp:rsid wsp:val=&quot;00120B9D&quot;/&gt;&lt;wsp:rsid wsp:val=&quot;0014678C&quot;/&gt;&lt;wsp:rsid wsp:val=&quot;002526E2&quot;/&gt;&lt;wsp:rsid wsp:val=&quot;0026112C&quot;/&gt;&lt;wsp:rsid wsp:val=&quot;00347068&quot;/&gt;&lt;wsp:rsid wsp:val=&quot;00376FD7&quot;/&gt;&lt;wsp:rsid wsp:val=&quot;00385682&quot;/&gt;&lt;wsp:rsid wsp:val=&quot;004256CE&quot;/&gt;&lt;wsp:rsid wsp:val=&quot;00431E91&quot;/&gt;&lt;wsp:rsid wsp:val=&quot;00477E04&quot;/&gt;&lt;wsp:rsid wsp:val=&quot;004F539A&quot;/&gt;&lt;wsp:rsid wsp:val=&quot;00544362&quot;/&gt;&lt;wsp:rsid wsp:val=&quot;005D30EF&quot;/&gt;&lt;wsp:rsid wsp:val=&quot;005F530D&quot;/&gt;&lt;wsp:rsid wsp:val=&quot;00622B1D&quot;/&gt;&lt;wsp:rsid wsp:val=&quot;00634C9A&quot;/&gt;&lt;wsp:rsid wsp:val=&quot;00676E1D&quot;/&gt;&lt;wsp:rsid wsp:val=&quot;006B4DD5&quot;/&gt;&lt;wsp:rsid wsp:val=&quot;006C0CCB&quot;/&gt;&lt;wsp:rsid wsp:val=&quot;006F70E5&quot;/&gt;&lt;wsp:rsid wsp:val=&quot;00714452&quot;/&gt;&lt;wsp:rsid wsp:val=&quot;007C1A84&quot;/&gt;&lt;wsp:rsid wsp:val=&quot;007D7614&quot;/&gt;&lt;wsp:rsid wsp:val=&quot;0081350B&quot;/&gt;&lt;wsp:rsid wsp:val=&quot;008B6A06&quot;/&gt;&lt;wsp:rsid wsp:val=&quot;008C2EA5&quot;/&gt;&lt;wsp:rsid wsp:val=&quot;008D1C9D&quot;/&gt;&lt;wsp:rsid wsp:val=&quot;00920766&quot;/&gt;&lt;wsp:rsid wsp:val=&quot;00A1303C&quot;/&gt;&lt;wsp:rsid wsp:val=&quot;00A43BCF&quot;/&gt;&lt;wsp:rsid wsp:val=&quot;00A71D75&quot;/&gt;&lt;wsp:rsid wsp:val=&quot;00A80C20&quot;/&gt;&lt;wsp:rsid wsp:val=&quot;00AD09D8&quot;/&gt;&lt;wsp:rsid wsp:val=&quot;00AD53CE&quot;/&gt;&lt;wsp:rsid wsp:val=&quot;00AD70E0&quot;/&gt;&lt;wsp:rsid wsp:val=&quot;00B235D0&quot;/&gt;&lt;wsp:rsid wsp:val=&quot;00B87CFE&quot;/&gt;&lt;wsp:rsid wsp:val=&quot;00C26045&quot;/&gt;&lt;wsp:rsid wsp:val=&quot;00C33A90&quot;/&gt;&lt;wsp:rsid wsp:val=&quot;00C84F33&quot;/&gt;&lt;wsp:rsid wsp:val=&quot;00CA4602&quot;/&gt;&lt;wsp:rsid wsp:val=&quot;00CC27B0&quot;/&gt;&lt;wsp:rsid wsp:val=&quot;00CC35A9&quot;/&gt;&lt;wsp:rsid wsp:val=&quot;00D273D6&quot;/&gt;&lt;wsp:rsid wsp:val=&quot;00D62D4B&quot;/&gt;&lt;wsp:rsid wsp:val=&quot;00DB4F42&quot;/&gt;&lt;wsp:rsid wsp:val=&quot;00DC3F29&quot;/&gt;&lt;wsp:rsid wsp:val=&quot;00DD67E2&quot;/&gt;&lt;wsp:rsid wsp:val=&quot;00E27C9B&quot;/&gt;&lt;wsp:rsid wsp:val=&quot;00E51CCF&quot;/&gt;&lt;wsp:rsid wsp:val=&quot;00E56D9A&quot;/&gt;&lt;wsp:rsid wsp:val=&quot;00E842F7&quot;/&gt;&lt;wsp:rsid wsp:val=&quot;00E86965&quot;/&gt;&lt;wsp:rsid wsp:val=&quot;00EC33C5&quot;/&gt;&lt;wsp:rsid wsp:val=&quot;00F93270&quot;/&gt;&lt;/wsp:rsids&gt;&lt;/w:docPr&gt;&lt;w:body&gt;&lt;w:p wsp:rsidR=&quot;00000000&quot; wsp:rsidRDefault=&quot;008C2EA5&quot;&gt;&lt;m:oMathPara&gt;&lt;m:oMath&gt;&lt;m:r&gt;&lt;w:rPr&gt;&lt;w:rFonts w:ascii=&quot;Cambria Math&quot; w:h-ansi=&quot;Cambria Math&quot;/&gt;&lt;wx:font wx:val=&quot;Cambria Math&quot;/&gt;&lt;w:i/&gt;&lt;w:sz w:val=&quot;24&quot;/&gt;&lt;w:sz-cs w:val=&quot;24&quot;/&gt;&lt;w:shd w:val=&quot;clear&quot; w:color=&quot;auto&quot; w:fill=&quot;FFFFFF&quot;/&gt;&lt;/w:rPr&gt;&lt;m:t&gt;I=&lt;/m:t&gt;&lt;/m:r&gt;&lt;m:f&gt;&lt;m:fPr&gt;&lt;m:ctrlPr&gt;&lt;w:rPr&gt;&lt;w:rFonts w:ascii=&quot;Cambria Math&quot; w:h-ansi=&quot;Cambria Math&quot;/&gt;&lt;wx:font wx:val=&quot;Cambria Math&quot;/&gt;&lt;w:i/&gt;&lt;w:sz w:val=&quot;24&quot;/&gt;&lt;w:sz-cs w:val=&quot;24&quot;/&gt;&lt;w:shd w:val=&quot;clear&quot; w:color=&quot;auto&quot; w:fill=&quot;FFFFFF&quot;/&gt;&lt;/w:rPr&gt;&lt;/m:ctrlPr&gt;&lt;/m:fPr&gt;&lt;m:num&gt;&lt;m:eqArr&gt;&lt;m:eqArrPr&gt;&lt;m:ctrlPr&gt;&lt;w:rPr&gt;&lt;w:rFonts w:ascii=&quot;Cambria Math&quot; w:h-ansi=&quot;Cambria Math&quot;/&gt;&lt;wx:font wx:val=&quot;Cambria Math&quot;/&gt;&lt;w:i/&gt;&lt;w:sz w:val=&quot;24&quot;/&gt;&lt;w:sz-cs w:val=&quot;24&quot;/&gt;&lt;w:shd w:val=&quot;clear&quot; w:color=&quot;auto&quot; w:fill=&quot;FFFFFF&quot;/&gt;&lt;/w:rPr&gt;&lt;/m:ctrlPr&gt;&lt;/m:eqArrPr&gt;&lt;m:e&gt;&lt;m:r&gt;&lt;w:rPr&gt;&lt;w:rFonts w:ascii=&quot;Cambria Math&quot; w:h-ansi=&quot;Cambria Math&quot;/&gt;&lt;wx:font wx:val=&quot;Cambria Math&quot;/&gt;&lt;w:i/&gt;&lt;w:sz w:val=&quot;24&quot;/&gt;&lt;w:sz-cs w:val=&quot;24&quot;/&gt;&lt;w:shd w:val=&quot;clear&quot; w:color=&quot;auto&quot; w:fill=&quot;FFFFFF&quot;/&gt;&lt;/w:rPr&gt;&lt;m:t&gt;РїРѕРґС‚РІРµСЂР¶РґРµРЅРЅС‹Рµ СЂРµР№С‚РёРЅРіРё-РЅРµРіР°С‚РёРІРЅС‹Рµ СЂРµР№С‚РёРЅРіРѕРІС‹Рµ РґРµР№СЃС‚РІРёСЏ&lt;/m:t&gt;&lt;/m:r&gt;&lt;/m:e&gt;&lt;m:e&gt;&lt;m:r&gt;&lt;w:rPr&gt;&lt;w:rFonts w:ascii=&quot;Cambria Math&quot; w:h-ansi=&quot;Cambria Math&quot;/&gt;&lt;wx:font wx:val=&quot;Cambria Math&quot;/&gt;&lt;w:i/&gt;&lt;w:sz w:val=&quot;24&quot;/&gt;&lt;w:sz-cs w:val=&quot;24&quot;/&gt;&lt;w:shd w:val=&quot;clear&quot; w:color=&quot;auto&quot; w:fill=&quot;FFFFFF&quot;/&gt;&lt;/w:rPr&gt;&lt;m:t&gt;+РїРѕР·РёС‚РёРІРЅС‹Рµ СЂРµР№С‚РёРЅРіРѕРІС‹Рµ РґРµР№СЃС‚РІРёСЏ Р·Р° РєРІР°СЂС‚Р°Р»&lt;/m:t&gt;&lt;/m:r&gt;&lt;/m:e&gt;&lt;/m:eqArr&gt;&lt;/m:num&gt;&lt;m:den&gt;&lt;m:r&gt;&lt;w:rPr&gt;&lt;w:rFonts w:ascii=&quot;Cambria Math&quot; w:h-ansi=&quot;Cambria Math&quot;/&gt;&lt;wx:font wx:val=&quot;Cambria Math&quot;/&gt;&lt;w:i/&gt;&lt;w:sz w:val=&quot;24&quot;/&gt;&lt;w:sz-cs w:val=&quot;24&quot;/&gt;&lt;w:shd w:val=&quot;clear&quot; w:color=&quot;auto&quot; w:fill=&quot;FFFFFF&quot;/&gt;&lt;/w:rPr&gt;&lt;m:t&gt;СЃСЂРµРґРЅРµРєРІР°СЂС‚Р°Р»СЊРЅРѕРµ РєРѕР»РёС‡РµСЃС‚РІРѕ РїСѓР±Р»РёС‡РЅС‹С… СЂРµР№С‚РёРЅРіРѕРІ&lt;/m:t&gt;&lt;/m:r&gt;&lt;/m:den&gt;&lt;/m:f&gt;&lt;m:r&gt;&lt;w:rPr&gt;&lt;w:rFonts w:ascii=&quot;Cambria Math&quot; w:h-ansi=&quot;Cambria Math&quot;/&gt;&lt;wx:font wx:val=&quot;Cambria Math&quot;/&gt;&lt;w:i/&gt;&lt;w:sz w:val=&quot;24&quot;/&gt;&lt;w:sz-cs w:val=&quot;24&quot;/&gt;&lt;w:shd w:val=&quot;clear&quot; w:color=&quot;auto&quot; w:fill=&quot;FFFFFF&quot;/&gt;&lt;/w:rPr&gt;&lt;m:t&gt;Г—100 &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2" o:title="" chromakey="white"/>
          </v:shape>
        </w:pict>
      </w:r>
      <w:r w:rsidRPr="006C0CCB">
        <w:rPr>
          <w:rFonts w:ascii="Times New Roman" w:hAnsi="Times New Roman"/>
          <w:sz w:val="24"/>
          <w:szCs w:val="24"/>
          <w:shd w:val="clear" w:color="auto" w:fill="FFFFFF"/>
        </w:rPr>
        <w:instrText xml:space="preserve"> </w:instrText>
      </w:r>
      <w:r w:rsidRPr="006C0CCB">
        <w:rPr>
          <w:rFonts w:ascii="Times New Roman" w:hAnsi="Times New Roman"/>
          <w:sz w:val="24"/>
          <w:szCs w:val="24"/>
          <w:shd w:val="clear" w:color="auto" w:fill="FFFFFF"/>
        </w:rPr>
        <w:fldChar w:fldCharType="separate"/>
      </w:r>
      <w:r>
        <w:pict>
          <v:shape id="_x0000_i1029" type="#_x0000_t75" style="width:415.5pt;height:41.25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C26045&quot;/&gt;&lt;wsp:rsid wsp:val=&quot;00067746&quot;/&gt;&lt;wsp:rsid wsp:val=&quot;00070CF1&quot;/&gt;&lt;wsp:rsid wsp:val=&quot;000B189E&quot;/&gt;&lt;wsp:rsid wsp:val=&quot;000B4639&quot;/&gt;&lt;wsp:rsid wsp:val=&quot;000D4BAB&quot;/&gt;&lt;wsp:rsid wsp:val=&quot;00102FAD&quot;/&gt;&lt;wsp:rsid wsp:val=&quot;00120B9D&quot;/&gt;&lt;wsp:rsid wsp:val=&quot;0014678C&quot;/&gt;&lt;wsp:rsid wsp:val=&quot;002526E2&quot;/&gt;&lt;wsp:rsid wsp:val=&quot;0026112C&quot;/&gt;&lt;wsp:rsid wsp:val=&quot;00347068&quot;/&gt;&lt;wsp:rsid wsp:val=&quot;00376FD7&quot;/&gt;&lt;wsp:rsid wsp:val=&quot;00385682&quot;/&gt;&lt;wsp:rsid wsp:val=&quot;004256CE&quot;/&gt;&lt;wsp:rsid wsp:val=&quot;00431E91&quot;/&gt;&lt;wsp:rsid wsp:val=&quot;00477E04&quot;/&gt;&lt;wsp:rsid wsp:val=&quot;004F539A&quot;/&gt;&lt;wsp:rsid wsp:val=&quot;00544362&quot;/&gt;&lt;wsp:rsid wsp:val=&quot;005D30EF&quot;/&gt;&lt;wsp:rsid wsp:val=&quot;005F530D&quot;/&gt;&lt;wsp:rsid wsp:val=&quot;00622B1D&quot;/&gt;&lt;wsp:rsid wsp:val=&quot;00634C9A&quot;/&gt;&lt;wsp:rsid wsp:val=&quot;00676E1D&quot;/&gt;&lt;wsp:rsid wsp:val=&quot;006B4DD5&quot;/&gt;&lt;wsp:rsid wsp:val=&quot;006C0CCB&quot;/&gt;&lt;wsp:rsid wsp:val=&quot;006F70E5&quot;/&gt;&lt;wsp:rsid wsp:val=&quot;00714452&quot;/&gt;&lt;wsp:rsid wsp:val=&quot;007C1A84&quot;/&gt;&lt;wsp:rsid wsp:val=&quot;007D7614&quot;/&gt;&lt;wsp:rsid wsp:val=&quot;0081350B&quot;/&gt;&lt;wsp:rsid wsp:val=&quot;008B6A06&quot;/&gt;&lt;wsp:rsid wsp:val=&quot;008C2EA5&quot;/&gt;&lt;wsp:rsid wsp:val=&quot;008D1C9D&quot;/&gt;&lt;wsp:rsid wsp:val=&quot;00920766&quot;/&gt;&lt;wsp:rsid wsp:val=&quot;00A1303C&quot;/&gt;&lt;wsp:rsid wsp:val=&quot;00A43BCF&quot;/&gt;&lt;wsp:rsid wsp:val=&quot;00A71D75&quot;/&gt;&lt;wsp:rsid wsp:val=&quot;00A80C20&quot;/&gt;&lt;wsp:rsid wsp:val=&quot;00AD09D8&quot;/&gt;&lt;wsp:rsid wsp:val=&quot;00AD53CE&quot;/&gt;&lt;wsp:rsid wsp:val=&quot;00AD70E0&quot;/&gt;&lt;wsp:rsid wsp:val=&quot;00B235D0&quot;/&gt;&lt;wsp:rsid wsp:val=&quot;00B87CFE&quot;/&gt;&lt;wsp:rsid wsp:val=&quot;00C26045&quot;/&gt;&lt;wsp:rsid wsp:val=&quot;00C33A90&quot;/&gt;&lt;wsp:rsid wsp:val=&quot;00C84F33&quot;/&gt;&lt;wsp:rsid wsp:val=&quot;00CA4602&quot;/&gt;&lt;wsp:rsid wsp:val=&quot;00CC27B0&quot;/&gt;&lt;wsp:rsid wsp:val=&quot;00CC35A9&quot;/&gt;&lt;wsp:rsid wsp:val=&quot;00D273D6&quot;/&gt;&lt;wsp:rsid wsp:val=&quot;00D62D4B&quot;/&gt;&lt;wsp:rsid wsp:val=&quot;00DB4F42&quot;/&gt;&lt;wsp:rsid wsp:val=&quot;00DC3F29&quot;/&gt;&lt;wsp:rsid wsp:val=&quot;00DD67E2&quot;/&gt;&lt;wsp:rsid wsp:val=&quot;00E27C9B&quot;/&gt;&lt;wsp:rsid wsp:val=&quot;00E51CCF&quot;/&gt;&lt;wsp:rsid wsp:val=&quot;00E56D9A&quot;/&gt;&lt;wsp:rsid wsp:val=&quot;00E842F7&quot;/&gt;&lt;wsp:rsid wsp:val=&quot;00E86965&quot;/&gt;&lt;wsp:rsid wsp:val=&quot;00EC33C5&quot;/&gt;&lt;wsp:rsid wsp:val=&quot;00F93270&quot;/&gt;&lt;/wsp:rsids&gt;&lt;/w:docPr&gt;&lt;w:body&gt;&lt;w:p wsp:rsidR=&quot;00000000&quot; wsp:rsidRDefault=&quot;008C2EA5&quot;&gt;&lt;m:oMathPara&gt;&lt;m:oMath&gt;&lt;m:r&gt;&lt;w:rPr&gt;&lt;w:rFonts w:ascii=&quot;Cambria Math&quot; w:h-ansi=&quot;Cambria Math&quot;/&gt;&lt;wx:font wx:val=&quot;Cambria Math&quot;/&gt;&lt;w:i/&gt;&lt;w:sz w:val=&quot;24&quot;/&gt;&lt;w:sz-cs w:val=&quot;24&quot;/&gt;&lt;w:shd w:val=&quot;clear&quot; w:color=&quot;auto&quot; w:fill=&quot;FFFFFF&quot;/&gt;&lt;/w:rPr&gt;&lt;m:t&gt;I=&lt;/m:t&gt;&lt;/m:r&gt;&lt;m:f&gt;&lt;m:fPr&gt;&lt;m:ctrlPr&gt;&lt;w:rPr&gt;&lt;w:rFonts w:ascii=&quot;Cambria Math&quot; w:h-ansi=&quot;Cambria Math&quot;/&gt;&lt;wx:font wx:val=&quot;Cambria Math&quot;/&gt;&lt;w:i/&gt;&lt;w:sz w:val=&quot;24&quot;/&gt;&lt;w:sz-cs w:val=&quot;24&quot;/&gt;&lt;w:shd w:val=&quot;clear&quot; w:color=&quot;auto&quot; w:fill=&quot;FFFFFF&quot;/&gt;&lt;/w:rPr&gt;&lt;/m:ctrlPr&gt;&lt;/m:fPr&gt;&lt;m:num&gt;&lt;m:eqArr&gt;&lt;m:eqArrPr&gt;&lt;m:ctrlPr&gt;&lt;w:rPr&gt;&lt;w:rFonts w:ascii=&quot;Cambria Math&quot; w:h-ansi=&quot;Cambria Math&quot;/&gt;&lt;wx:font wx:val=&quot;Cambria Math&quot;/&gt;&lt;w:i/&gt;&lt;w:sz w:val=&quot;24&quot;/&gt;&lt;w:sz-cs w:val=&quot;24&quot;/&gt;&lt;w:shd w:val=&quot;clear&quot; w:color=&quot;auto&quot; w:fill=&quot;FFFFFF&quot;/&gt;&lt;/w:rPr&gt;&lt;/m:ctrlPr&gt;&lt;/m:eqArrPr&gt;&lt;m:e&gt;&lt;m:r&gt;&lt;w:rPr&gt;&lt;w:rFonts w:ascii=&quot;Cambria Math&quot; w:h-ansi=&quot;Cambria Math&quot;/&gt;&lt;wx:font wx:val=&quot;Cambria Math&quot;/&gt;&lt;w:i/&gt;&lt;w:sz w:val=&quot;24&quot;/&gt;&lt;w:sz-cs w:val=&quot;24&quot;/&gt;&lt;w:shd w:val=&quot;clear&quot; w:color=&quot;auto&quot; w:fill=&quot;FFFFFF&quot;/&gt;&lt;/w:rPr&gt;&lt;m:t&gt;РїРѕРґС‚РІРµСЂР¶РґРµРЅРЅС‹Рµ СЂРµР№С‚РёРЅРіРё-РЅРµРіР°С‚РёРІРЅС‹Рµ СЂРµР№С‚РёРЅРіРѕРІС‹Рµ РґРµР№СЃС‚РІРёСЏ&lt;/m:t&gt;&lt;/m:r&gt;&lt;/m:e&gt;&lt;m:e&gt;&lt;m:r&gt;&lt;w:rPr&gt;&lt;w:rFonts w:ascii=&quot;Cambria Math&quot; w:h-ansi=&quot;Cambria Math&quot;/&gt;&lt;wx:font wx:val=&quot;Cambria Math&quot;/&gt;&lt;w:i/&gt;&lt;w:sz w:val=&quot;24&quot;/&gt;&lt;w:sz-cs w:val=&quot;24&quot;/&gt;&lt;w:shd w:val=&quot;clear&quot; w:color=&quot;auto&quot; w:fill=&quot;FFFFFF&quot;/&gt;&lt;/w:rPr&gt;&lt;m:t&gt;+РїРѕР·РёС‚РёРІРЅС‹Рµ СЂРµР№С‚РёРЅРіРѕРІС‹Рµ РґРµР№СЃС‚РІРёСЏ Р·Р° РєРІР°СЂС‚Р°Р»&lt;/m:t&gt;&lt;/m:r&gt;&lt;/m:e&gt;&lt;/m:eqArr&gt;&lt;/m:num&gt;&lt;m:den&gt;&lt;m:r&gt;&lt;w:rPr&gt;&lt;w:rFonts w:ascii=&quot;Cambria Math&quot; w:h-ansi=&quot;Cambria Math&quot;/&gt;&lt;wx:font wx:val=&quot;Cambria Math&quot;/&gt;&lt;w:i/&gt;&lt;w:sz w:val=&quot;24&quot;/&gt;&lt;w:sz-cs w:val=&quot;24&quot;/&gt;&lt;w:shd w:val=&quot;clear&quot; w:color=&quot;auto&quot; w:fill=&quot;FFFFFF&quot;/&gt;&lt;/w:rPr&gt;&lt;m:t&gt;СЃСЂРµРґРЅРµРєРІР°СЂС‚Р°Р»СЊРЅРѕРµ РєРѕР»РёС‡РµСЃС‚РІРѕ РїСѓР±Р»РёС‡РЅС‹С… СЂРµР№С‚РёРЅРіРѕРІ&lt;/m:t&gt;&lt;/m:r&gt;&lt;/m:den&gt;&lt;/m:f&gt;&lt;m:r&gt;&lt;w:rPr&gt;&lt;w:rFonts w:ascii=&quot;Cambria Math&quot; w:h-ansi=&quot;Cambria Math&quot;/&gt;&lt;wx:font wx:val=&quot;Cambria Math&quot;/&gt;&lt;w:i/&gt;&lt;w:sz w:val=&quot;24&quot;/&gt;&lt;w:sz-cs w:val=&quot;24&quot;/&gt;&lt;w:shd w:val=&quot;clear&quot; w:color=&quot;auto&quot; w:fill=&quot;FFFFFF&quot;/&gt;&lt;/w:rPr&gt;&lt;m:t&gt;Г—100 &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2" o:title="" chromakey="white"/>
          </v:shape>
        </w:pict>
      </w:r>
      <w:r w:rsidRPr="006C0CCB">
        <w:rPr>
          <w:rFonts w:ascii="Times New Roman" w:hAnsi="Times New Roman"/>
          <w:sz w:val="24"/>
          <w:szCs w:val="24"/>
          <w:shd w:val="clear" w:color="auto" w:fill="FFFFFF"/>
        </w:rPr>
        <w:fldChar w:fldCharType="end"/>
      </w:r>
      <w:r w:rsidRPr="00F93270">
        <w:rPr>
          <w:rFonts w:ascii="Times New Roman" w:hAnsi="Times New Roman"/>
          <w:sz w:val="24"/>
          <w:szCs w:val="24"/>
          <w:shd w:val="clear" w:color="auto" w:fill="FFFFFF"/>
        </w:rPr>
        <w:t xml:space="preserve"> </w:t>
      </w:r>
      <w:r>
        <w:rPr>
          <w:rFonts w:ascii="Times New Roman" w:hAnsi="Times New Roman"/>
          <w:sz w:val="24"/>
          <w:szCs w:val="24"/>
          <w:shd w:val="clear" w:color="auto" w:fill="FFFFFF"/>
        </w:rPr>
        <w:tab/>
      </w:r>
      <w:r>
        <w:rPr>
          <w:rFonts w:ascii="Times New Roman" w:hAnsi="Times New Roman"/>
          <w:sz w:val="24"/>
          <w:szCs w:val="24"/>
          <w:shd w:val="clear" w:color="auto" w:fill="FFFFFF"/>
        </w:rPr>
        <w:tab/>
      </w:r>
      <w:r>
        <w:rPr>
          <w:rFonts w:ascii="Times New Roman" w:hAnsi="Times New Roman"/>
          <w:sz w:val="24"/>
          <w:szCs w:val="24"/>
          <w:shd w:val="clear" w:color="auto" w:fill="FFFFFF"/>
        </w:rPr>
        <w:tab/>
        <w:t>(1)</w:t>
      </w:r>
    </w:p>
    <w:p w:rsidR="005D7A74" w:rsidRDefault="005D7A74" w:rsidP="00714452">
      <w:pPr>
        <w:spacing w:after="0" w:line="360" w:lineRule="auto"/>
        <w:ind w:firstLine="709"/>
        <w:jc w:val="both"/>
        <w:rPr>
          <w:rFonts w:ascii="Times New Roman" w:hAnsi="Times New Roman"/>
          <w:sz w:val="28"/>
          <w:szCs w:val="20"/>
          <w:shd w:val="clear" w:color="auto" w:fill="FFFFFF"/>
        </w:rPr>
      </w:pPr>
    </w:p>
    <w:p w:rsidR="005D7A74" w:rsidRPr="00714452" w:rsidRDefault="005D7A74" w:rsidP="00714452">
      <w:pPr>
        <w:spacing w:after="0" w:line="360" w:lineRule="auto"/>
        <w:ind w:firstLine="709"/>
        <w:jc w:val="both"/>
        <w:rPr>
          <w:rFonts w:ascii="Times New Roman" w:hAnsi="Times New Roman"/>
          <w:sz w:val="28"/>
          <w:szCs w:val="20"/>
          <w:shd w:val="clear" w:color="auto" w:fill="FFFFFF"/>
        </w:rPr>
      </w:pPr>
      <w:r w:rsidRPr="00714452">
        <w:rPr>
          <w:rFonts w:ascii="Times New Roman" w:hAnsi="Times New Roman"/>
          <w:sz w:val="28"/>
          <w:szCs w:val="20"/>
          <w:shd w:val="clear" w:color="auto" w:fill="FFFFFF"/>
        </w:rPr>
        <w:t>Негативная динамика индикатора в конце 2016 года, помимо убыточности и слабого запаса основного капитала, также связана с проблемами в банковском секторе Республики Татарстан.</w:t>
      </w:r>
    </w:p>
    <w:p w:rsidR="005D7A74" w:rsidRDefault="005D7A74" w:rsidP="00714452">
      <w:pPr>
        <w:spacing w:after="0" w:line="360" w:lineRule="auto"/>
        <w:ind w:firstLine="709"/>
        <w:jc w:val="both"/>
        <w:rPr>
          <w:rFonts w:ascii="Times New Roman" w:hAnsi="Times New Roman"/>
          <w:sz w:val="28"/>
          <w:szCs w:val="20"/>
          <w:shd w:val="clear" w:color="auto" w:fill="FFFFFF"/>
        </w:rPr>
      </w:pPr>
    </w:p>
    <w:p w:rsidR="005D7A74" w:rsidRPr="00431E91" w:rsidRDefault="005D7A74" w:rsidP="000D4BAB">
      <w:pPr>
        <w:spacing w:after="0" w:line="360" w:lineRule="auto"/>
        <w:jc w:val="right"/>
        <w:rPr>
          <w:rFonts w:ascii="Times New Roman" w:hAnsi="Times New Roman"/>
          <w:sz w:val="20"/>
          <w:szCs w:val="20"/>
          <w:shd w:val="clear" w:color="auto" w:fill="FFFFFF"/>
        </w:rPr>
      </w:pPr>
      <w:r w:rsidRPr="006773B8">
        <w:rPr>
          <w:rFonts w:ascii="Times New Roman" w:hAnsi="Times New Roman"/>
          <w:noProof/>
          <w:sz w:val="28"/>
          <w:szCs w:val="20"/>
          <w:shd w:val="clear" w:color="auto" w:fill="FFFFFF"/>
          <w:lang w:eastAsia="ru-RU"/>
        </w:rPr>
        <w:pict>
          <v:shape id="Рисунок 8" o:spid="_x0000_i1030" type="#_x0000_t75" style="width:447.75pt;height:221.25pt;visibility:visible">
            <v:imagedata r:id="rId13" o:title="" croptop="18357f" cropbottom="1822f"/>
          </v:shape>
        </w:pict>
      </w:r>
      <w:r>
        <w:rPr>
          <w:rFonts w:ascii="Times New Roman" w:hAnsi="Times New Roman"/>
          <w:sz w:val="20"/>
          <w:szCs w:val="20"/>
          <w:shd w:val="clear" w:color="auto" w:fill="FFFFFF"/>
        </w:rPr>
        <w:t xml:space="preserve">Источник: </w:t>
      </w:r>
      <w:r>
        <w:rPr>
          <w:rFonts w:ascii="Times New Roman" w:hAnsi="Times New Roman"/>
          <w:sz w:val="20"/>
          <w:szCs w:val="20"/>
          <w:shd w:val="clear" w:color="auto" w:fill="FFFFFF"/>
          <w:lang w:val="en-US"/>
        </w:rPr>
        <w:t>RAEX</w:t>
      </w:r>
      <w:r w:rsidRPr="00431E91">
        <w:rPr>
          <w:rFonts w:ascii="Times New Roman" w:hAnsi="Times New Roman"/>
          <w:sz w:val="20"/>
          <w:szCs w:val="20"/>
          <w:shd w:val="clear" w:color="auto" w:fill="FFFFFF"/>
        </w:rPr>
        <w:t xml:space="preserve"> </w:t>
      </w:r>
      <w:r>
        <w:rPr>
          <w:rFonts w:ascii="Times New Roman" w:hAnsi="Times New Roman"/>
          <w:sz w:val="20"/>
          <w:szCs w:val="20"/>
          <w:shd w:val="clear" w:color="auto" w:fill="FFFFFF"/>
        </w:rPr>
        <w:t>(Эксперт РА), по данным Банка России</w:t>
      </w:r>
    </w:p>
    <w:p w:rsidR="005D7A74" w:rsidRDefault="005D7A74" w:rsidP="000D4BAB">
      <w:pPr>
        <w:spacing w:after="0" w:line="360" w:lineRule="auto"/>
        <w:ind w:firstLine="709"/>
        <w:jc w:val="both"/>
        <w:rPr>
          <w:rFonts w:ascii="Times New Roman" w:hAnsi="Times New Roman"/>
          <w:sz w:val="28"/>
          <w:szCs w:val="20"/>
          <w:shd w:val="clear" w:color="auto" w:fill="FFFFFF"/>
        </w:rPr>
      </w:pPr>
      <w:r>
        <w:rPr>
          <w:rFonts w:ascii="Times New Roman" w:hAnsi="Times New Roman"/>
          <w:sz w:val="28"/>
          <w:szCs w:val="20"/>
          <w:shd w:val="clear" w:color="auto" w:fill="FFFFFF"/>
        </w:rPr>
        <w:t>Рисунок 5. «Индикатор здоровья» банковского сектора РФ</w:t>
      </w:r>
    </w:p>
    <w:p w:rsidR="005D7A74" w:rsidRDefault="005D7A74" w:rsidP="000D4BAB">
      <w:pPr>
        <w:spacing w:after="0" w:line="360" w:lineRule="auto"/>
        <w:jc w:val="both"/>
        <w:rPr>
          <w:rFonts w:ascii="Times New Roman" w:hAnsi="Times New Roman"/>
          <w:sz w:val="28"/>
          <w:szCs w:val="20"/>
          <w:shd w:val="clear" w:color="auto" w:fill="FFFFFF"/>
        </w:rPr>
      </w:pPr>
    </w:p>
    <w:p w:rsidR="005D7A74" w:rsidRPr="00714452" w:rsidRDefault="005D7A74" w:rsidP="00714452">
      <w:pPr>
        <w:spacing w:after="0" w:line="360" w:lineRule="auto"/>
        <w:ind w:firstLine="709"/>
        <w:jc w:val="both"/>
        <w:rPr>
          <w:rFonts w:ascii="Times New Roman" w:hAnsi="Times New Roman"/>
          <w:sz w:val="28"/>
          <w:szCs w:val="20"/>
          <w:shd w:val="clear" w:color="auto" w:fill="FFFFFF"/>
        </w:rPr>
      </w:pPr>
      <w:r w:rsidRPr="00714452">
        <w:rPr>
          <w:rFonts w:ascii="Times New Roman" w:hAnsi="Times New Roman"/>
          <w:sz w:val="28"/>
          <w:szCs w:val="20"/>
          <w:shd w:val="clear" w:color="auto" w:fill="FFFFFF"/>
        </w:rPr>
        <w:t>В рамках базового сценария в 2017 году прибыль банков снизится на 5-10% по сравнению 2016 годом за счет роста отчислений в резервы по проблемным активам. Рост доли проблемных активов предусматривают все сценарии, кроме позитивного. Доля кредитов «под стрессом» в базовом сценарии вырастет в 2017 году с 17% до 18% с</w:t>
      </w:r>
      <w:r>
        <w:rPr>
          <w:rFonts w:ascii="Times New Roman" w:hAnsi="Times New Roman"/>
          <w:sz w:val="28"/>
          <w:szCs w:val="20"/>
          <w:shd w:val="clear" w:color="auto" w:fill="FFFFFF"/>
        </w:rPr>
        <w:t>овокупного кредитного портфеля</w:t>
      </w:r>
      <w:r w:rsidRPr="00714452">
        <w:rPr>
          <w:rFonts w:ascii="Times New Roman" w:hAnsi="Times New Roman"/>
          <w:sz w:val="28"/>
          <w:szCs w:val="20"/>
          <w:shd w:val="clear" w:color="auto" w:fill="FFFFFF"/>
        </w:rPr>
        <w:t>, в негативном сценарии – может достигнуть 21%, в позитивном - снизится до 16,5%. Доля ссуд только 4-5 категорий качества 01.11.2016 составила 9,8%, в базовом сценарии прогнозируется ее рост до 10,5%, в негативном – до 11,5%. Помимо роста доли проблемных активов значимое влияние на финансовый результат 2017 года окажет ужесточение подхода ЦБ РФ к резервированию кредитов. В частности, под риском существенного дорезервирования окажутся банки, кредитующие в значительных объемах аффилированные стороны и компании с признаками нереальности деятельности. Также в 2017 году ужесточение резервирования коснется банков, финансирующих пополнение оборотных средств предприятий с длинным циклом производства, и банков, уменьшающих резервы за счет залогов по завышенной стоимости. В результате, базовый сценарий предполагает прибыль банков по итогам 2017 года в размере около 850 млрд</w:t>
      </w:r>
      <w:r>
        <w:rPr>
          <w:rFonts w:ascii="Times New Roman" w:hAnsi="Times New Roman"/>
          <w:sz w:val="28"/>
          <w:szCs w:val="20"/>
          <w:shd w:val="clear" w:color="auto" w:fill="FFFFFF"/>
        </w:rPr>
        <w:t>.</w:t>
      </w:r>
      <w:r w:rsidRPr="00714452">
        <w:rPr>
          <w:rFonts w:ascii="Times New Roman" w:hAnsi="Times New Roman"/>
          <w:sz w:val="28"/>
          <w:szCs w:val="20"/>
          <w:shd w:val="clear" w:color="auto" w:fill="FFFFFF"/>
        </w:rPr>
        <w:t xml:space="preserve"> руб., позитивный сценарий – около 1 трлн</w:t>
      </w:r>
      <w:r>
        <w:rPr>
          <w:rFonts w:ascii="Times New Roman" w:hAnsi="Times New Roman"/>
          <w:sz w:val="28"/>
          <w:szCs w:val="20"/>
          <w:shd w:val="clear" w:color="auto" w:fill="FFFFFF"/>
        </w:rPr>
        <w:t>.</w:t>
      </w:r>
      <w:r w:rsidRPr="00714452">
        <w:rPr>
          <w:rFonts w:ascii="Times New Roman" w:hAnsi="Times New Roman"/>
          <w:sz w:val="28"/>
          <w:szCs w:val="20"/>
          <w:shd w:val="clear" w:color="auto" w:fill="FFFFFF"/>
        </w:rPr>
        <w:t xml:space="preserve"> руб., а негативный – 650 млрд руб.</w:t>
      </w:r>
    </w:p>
    <w:p w:rsidR="005D7A74" w:rsidRPr="00714452" w:rsidRDefault="005D7A74" w:rsidP="00714452">
      <w:pPr>
        <w:spacing w:after="0" w:line="360" w:lineRule="auto"/>
        <w:ind w:firstLine="709"/>
        <w:jc w:val="both"/>
        <w:rPr>
          <w:rFonts w:ascii="Times New Roman" w:hAnsi="Times New Roman"/>
          <w:sz w:val="28"/>
          <w:szCs w:val="20"/>
          <w:shd w:val="clear" w:color="auto" w:fill="FFFFFF"/>
        </w:rPr>
      </w:pPr>
      <w:r w:rsidRPr="00714452">
        <w:rPr>
          <w:rFonts w:ascii="Times New Roman" w:hAnsi="Times New Roman"/>
          <w:sz w:val="28"/>
          <w:szCs w:val="20"/>
          <w:shd w:val="clear" w:color="auto" w:fill="FFFFFF"/>
        </w:rPr>
        <w:t>В 2017 году ожидает</w:t>
      </w:r>
      <w:r>
        <w:rPr>
          <w:rFonts w:ascii="Times New Roman" w:hAnsi="Times New Roman"/>
          <w:sz w:val="28"/>
          <w:szCs w:val="20"/>
          <w:shd w:val="clear" w:color="auto" w:fill="FFFFFF"/>
        </w:rPr>
        <w:t>ся</w:t>
      </w:r>
      <w:r w:rsidRPr="00714452">
        <w:rPr>
          <w:rFonts w:ascii="Times New Roman" w:hAnsi="Times New Roman"/>
          <w:sz w:val="28"/>
          <w:szCs w:val="20"/>
          <w:shd w:val="clear" w:color="auto" w:fill="FFFFFF"/>
        </w:rPr>
        <w:t xml:space="preserve"> продолжения тенденции к консолидации банковской системы за счет санации крупных банков и ухода слабых игроков с рынка. Еще одним вызовом для крупных банков могут стать проблемные кредиты крупному бизнесу, скрытые в реструктуризациях. В результате снижения рентабельности банковского бизнеса и ужесточения надзора собственники многих крупных банков потеряют заинтересованность в их развитии. В связи с чем, накопленный объем проблемных активов в отсутствие финансовой поддержки со стороны бенефициаров приведет к необходимости санации таких банков как с участием крупных игроков банковского рынка, так и с помощью нового механизма через фонд консолидации банковского сектора</w:t>
      </w:r>
      <w:r>
        <w:rPr>
          <w:rFonts w:ascii="Times New Roman" w:hAnsi="Times New Roman"/>
          <w:sz w:val="28"/>
          <w:szCs w:val="20"/>
          <w:shd w:val="clear" w:color="auto" w:fill="FFFFFF"/>
        </w:rPr>
        <w:t>.</w:t>
      </w:r>
    </w:p>
    <w:p w:rsidR="005D7A74" w:rsidRDefault="005D7A74" w:rsidP="006F70E5">
      <w:pPr>
        <w:spacing w:after="0" w:line="360" w:lineRule="auto"/>
        <w:ind w:firstLine="708"/>
        <w:jc w:val="both"/>
        <w:rPr>
          <w:rFonts w:ascii="Times New Roman" w:hAnsi="Times New Roman"/>
          <w:sz w:val="28"/>
          <w:szCs w:val="24"/>
          <w:lang w:eastAsia="ru-RU"/>
        </w:rPr>
      </w:pPr>
      <w:r>
        <w:rPr>
          <w:rFonts w:ascii="Times New Roman" w:hAnsi="Times New Roman"/>
          <w:sz w:val="28"/>
          <w:szCs w:val="24"/>
          <w:lang w:eastAsia="ru-RU"/>
        </w:rPr>
        <w:t>Таким образом, рейтинговое агентство «Эксперт РА» присваивает рейтинг кредитоспособности банку по результатам комплексного анализа его деятельности, динамики развития рынка, возможных перспектив развития кредитной организации, а также необходимых ресурсов для реализации финансовой устойчивости и повышения уровня корпоративного управления</w:t>
      </w:r>
      <w:r w:rsidRPr="00AD53CE">
        <w:rPr>
          <w:rFonts w:ascii="Times New Roman" w:hAnsi="Times New Roman"/>
          <w:sz w:val="28"/>
          <w:szCs w:val="24"/>
          <w:lang w:eastAsia="ru-RU"/>
        </w:rPr>
        <w:t xml:space="preserve"> </w:t>
      </w:r>
      <w:r w:rsidRPr="00AD53CE">
        <w:rPr>
          <w:rFonts w:ascii="Times New Roman" w:hAnsi="Times New Roman"/>
          <w:sz w:val="28"/>
          <w:szCs w:val="20"/>
          <w:shd w:val="clear" w:color="auto" w:fill="FFFFFF"/>
        </w:rPr>
        <w:t>[1</w:t>
      </w:r>
      <w:r>
        <w:rPr>
          <w:rFonts w:ascii="Times New Roman" w:hAnsi="Times New Roman"/>
          <w:sz w:val="28"/>
          <w:szCs w:val="20"/>
          <w:shd w:val="clear" w:color="auto" w:fill="FFFFFF"/>
        </w:rPr>
        <w:t>0</w:t>
      </w:r>
      <w:r w:rsidRPr="00AD53CE">
        <w:rPr>
          <w:rFonts w:ascii="Times New Roman" w:hAnsi="Times New Roman"/>
          <w:sz w:val="28"/>
          <w:szCs w:val="20"/>
          <w:shd w:val="clear" w:color="auto" w:fill="FFFFFF"/>
        </w:rPr>
        <w:t>]</w:t>
      </w:r>
      <w:r>
        <w:rPr>
          <w:rFonts w:ascii="Times New Roman" w:hAnsi="Times New Roman"/>
          <w:sz w:val="28"/>
          <w:szCs w:val="24"/>
          <w:lang w:eastAsia="ru-RU"/>
        </w:rPr>
        <w:t>.</w:t>
      </w:r>
    </w:p>
    <w:p w:rsidR="005D7A74" w:rsidRPr="00AD53CE" w:rsidRDefault="005D7A74" w:rsidP="006F70E5">
      <w:pPr>
        <w:spacing w:after="0" w:line="360" w:lineRule="auto"/>
        <w:ind w:firstLine="708"/>
        <w:jc w:val="both"/>
        <w:rPr>
          <w:rFonts w:ascii="Times New Roman" w:hAnsi="Times New Roman"/>
          <w:sz w:val="28"/>
          <w:szCs w:val="24"/>
          <w:lang w:eastAsia="ru-RU"/>
        </w:rPr>
      </w:pPr>
      <w:r>
        <w:rPr>
          <w:rFonts w:ascii="Times New Roman" w:hAnsi="Times New Roman"/>
          <w:sz w:val="28"/>
          <w:szCs w:val="24"/>
          <w:lang w:eastAsia="ru-RU"/>
        </w:rPr>
        <w:t>Деятельность российских рейтинговых агентств имеет ряд своих отличий по сравнению с международными агентствами. После присвоения рейтинга национальные агентства уделяют большое внимание его сопровождению, глобальные агентства придают этому меньше внимания. Помимо присвоения рейтингов национальные агентства предоставляют банкам еще и расширенный спектр информационно-аналитических услуг, которые направлены на создание эффективной финансовой инфраструктуры внутри страны, глобальные рейтинговые агентства уделяют большее внимание международному рынку.</w:t>
      </w:r>
    </w:p>
    <w:p w:rsidR="005D7A74" w:rsidRPr="005D30EF" w:rsidRDefault="005D7A74" w:rsidP="006F70E5">
      <w:pPr>
        <w:spacing w:after="0" w:line="360" w:lineRule="auto"/>
        <w:ind w:firstLine="708"/>
        <w:jc w:val="both"/>
        <w:rPr>
          <w:rFonts w:ascii="Times New Roman" w:hAnsi="Times New Roman"/>
          <w:sz w:val="28"/>
          <w:szCs w:val="24"/>
          <w:lang w:eastAsia="ru-RU"/>
        </w:rPr>
      </w:pPr>
      <w:r>
        <w:rPr>
          <w:rFonts w:ascii="Times New Roman" w:hAnsi="Times New Roman"/>
          <w:sz w:val="28"/>
          <w:szCs w:val="24"/>
          <w:lang w:eastAsia="ru-RU"/>
        </w:rPr>
        <w:t>К сожалению, присваиваемый рейтинг кредитоспособности банка носит скорее не качественный, а количественный характер, причем оценка систематизирована в виде рейтинговых таблиц и прогнозов. Однако аналитические материалы международных рейтинговых агентств в совокупности с национальной рейтинговой системой способны предоставить наиболее полную информацию о кредитоспособности не только банка, но и государства в целом.</w:t>
      </w:r>
    </w:p>
    <w:p w:rsidR="005D7A74" w:rsidRPr="006F70E5" w:rsidRDefault="005D7A74" w:rsidP="006F70E5">
      <w:pPr>
        <w:spacing w:after="0" w:line="360" w:lineRule="auto"/>
        <w:rPr>
          <w:rFonts w:ascii="Times New Roman" w:hAnsi="Times New Roman"/>
          <w:sz w:val="28"/>
          <w:szCs w:val="28"/>
        </w:rPr>
      </w:pPr>
    </w:p>
    <w:p w:rsidR="005D7A74" w:rsidRPr="00D62D4B" w:rsidRDefault="005D7A74" w:rsidP="006F70E5">
      <w:pPr>
        <w:spacing w:after="0" w:line="360" w:lineRule="auto"/>
        <w:ind w:firstLine="708"/>
        <w:jc w:val="both"/>
        <w:rPr>
          <w:rFonts w:ascii="Times New Roman" w:hAnsi="Times New Roman"/>
          <w:b/>
          <w:sz w:val="28"/>
          <w:szCs w:val="24"/>
          <w:lang w:eastAsia="ru-RU"/>
        </w:rPr>
      </w:pPr>
      <w:r w:rsidRPr="00D62D4B">
        <w:rPr>
          <w:rFonts w:ascii="Times New Roman" w:hAnsi="Times New Roman"/>
          <w:b/>
          <w:sz w:val="28"/>
          <w:szCs w:val="24"/>
          <w:lang w:eastAsia="ru-RU"/>
        </w:rPr>
        <w:t>Литература</w:t>
      </w:r>
    </w:p>
    <w:p w:rsidR="005D7A74" w:rsidRPr="005D30EF" w:rsidRDefault="005D7A74" w:rsidP="00BD290B">
      <w:pPr>
        <w:tabs>
          <w:tab w:val="left" w:pos="900"/>
        </w:tabs>
        <w:spacing w:after="0" w:line="240" w:lineRule="auto"/>
        <w:ind w:firstLine="540"/>
        <w:jc w:val="both"/>
        <w:rPr>
          <w:rFonts w:ascii="Times New Roman" w:hAnsi="Times New Roman"/>
          <w:sz w:val="24"/>
          <w:szCs w:val="24"/>
          <w:lang w:eastAsia="ru-RU"/>
        </w:rPr>
      </w:pPr>
      <w:r w:rsidRPr="005D30EF">
        <w:rPr>
          <w:rFonts w:ascii="Times New Roman" w:hAnsi="Times New Roman"/>
          <w:sz w:val="24"/>
          <w:szCs w:val="24"/>
          <w:lang w:eastAsia="ru-RU"/>
        </w:rPr>
        <w:t>1. Федеральный закон Российской Федерации от 13 июля 2015 г. № 222-ФЗ «О деятельности кредитных рейтинговых агентств в Российской Федерации».</w:t>
      </w:r>
    </w:p>
    <w:p w:rsidR="005D7A74" w:rsidRDefault="005D7A74" w:rsidP="00BD290B">
      <w:pPr>
        <w:tabs>
          <w:tab w:val="left" w:pos="900"/>
        </w:tabs>
        <w:spacing w:after="0" w:line="240" w:lineRule="auto"/>
        <w:ind w:firstLine="540"/>
        <w:jc w:val="both"/>
        <w:outlineLvl w:val="2"/>
        <w:rPr>
          <w:rFonts w:ascii="Times New Roman" w:hAnsi="Times New Roman"/>
          <w:sz w:val="24"/>
          <w:szCs w:val="24"/>
        </w:rPr>
      </w:pPr>
      <w:r w:rsidRPr="005D30EF">
        <w:rPr>
          <w:rFonts w:ascii="Times New Roman" w:hAnsi="Times New Roman"/>
          <w:sz w:val="24"/>
          <w:szCs w:val="24"/>
        </w:rPr>
        <w:t xml:space="preserve">2. </w:t>
      </w:r>
      <w:r w:rsidRPr="00D62D4B">
        <w:rPr>
          <w:rFonts w:ascii="Times New Roman" w:hAnsi="Times New Roman"/>
          <w:sz w:val="24"/>
          <w:szCs w:val="24"/>
        </w:rPr>
        <w:t>Ковалерова Л.А., Глушак Е.Н. Банковская система и её роль в экономике РФ / В сборнике: Наука и образование: сохраняя прошлое, создаём будущее сборник статей VI международной научно-практической конференции. 2016. С. 89-91.</w:t>
      </w:r>
    </w:p>
    <w:p w:rsidR="005D7A74" w:rsidRDefault="005D7A74" w:rsidP="00BD290B">
      <w:pPr>
        <w:tabs>
          <w:tab w:val="left" w:pos="900"/>
        </w:tabs>
        <w:spacing w:after="0" w:line="240" w:lineRule="auto"/>
        <w:ind w:firstLine="540"/>
        <w:jc w:val="both"/>
        <w:outlineLvl w:val="2"/>
        <w:rPr>
          <w:rFonts w:ascii="Times New Roman" w:hAnsi="Times New Roman"/>
          <w:sz w:val="24"/>
          <w:szCs w:val="24"/>
        </w:rPr>
      </w:pPr>
      <w:r>
        <w:rPr>
          <w:rFonts w:ascii="Times New Roman" w:hAnsi="Times New Roman"/>
          <w:sz w:val="24"/>
          <w:szCs w:val="24"/>
        </w:rPr>
        <w:t xml:space="preserve">3. </w:t>
      </w:r>
      <w:r w:rsidRPr="00D62D4B">
        <w:rPr>
          <w:rFonts w:ascii="Times New Roman" w:hAnsi="Times New Roman"/>
          <w:sz w:val="24"/>
          <w:szCs w:val="24"/>
        </w:rPr>
        <w:t>Финансовый рынок России: современные характеристики, инструменты, регуляторы. Монография/ Под общей редакцией А.Г. Рулинской. – Москва: ООО «Издательство «Мир науки»», 2015. – 122 с.</w:t>
      </w:r>
    </w:p>
    <w:p w:rsidR="005D7A74" w:rsidRPr="005D30EF" w:rsidRDefault="005D7A74" w:rsidP="00BD290B">
      <w:pPr>
        <w:tabs>
          <w:tab w:val="left" w:pos="900"/>
        </w:tabs>
        <w:spacing w:after="0" w:line="240" w:lineRule="auto"/>
        <w:ind w:firstLine="540"/>
        <w:jc w:val="both"/>
        <w:outlineLvl w:val="2"/>
        <w:rPr>
          <w:rFonts w:ascii="Times New Roman" w:hAnsi="Times New Roman"/>
          <w:bCs/>
          <w:sz w:val="24"/>
          <w:szCs w:val="24"/>
          <w:lang w:eastAsia="ru-RU"/>
        </w:rPr>
      </w:pPr>
      <w:r>
        <w:rPr>
          <w:rFonts w:ascii="Times New Roman" w:hAnsi="Times New Roman"/>
          <w:bCs/>
          <w:sz w:val="24"/>
          <w:szCs w:val="24"/>
          <w:lang w:eastAsia="ru-RU"/>
        </w:rPr>
        <w:t xml:space="preserve">4. </w:t>
      </w:r>
      <w:r w:rsidRPr="00D62D4B">
        <w:rPr>
          <w:rFonts w:ascii="Times New Roman" w:hAnsi="Times New Roman"/>
          <w:bCs/>
          <w:sz w:val="24"/>
          <w:szCs w:val="24"/>
          <w:lang w:eastAsia="ru-RU"/>
        </w:rPr>
        <w:t>Савинова Е.А., Салтыкова О.И. Оценка надежности банка на примере ПАО «Московский индустриальный банк» // Инновационное развитие экономики. 2016. № 6(36). С. 155-158.</w:t>
      </w:r>
    </w:p>
    <w:p w:rsidR="005D7A74" w:rsidRPr="00B87CFE" w:rsidRDefault="005D7A74" w:rsidP="00BD290B">
      <w:pPr>
        <w:tabs>
          <w:tab w:val="left" w:pos="900"/>
        </w:tabs>
        <w:spacing w:after="0" w:line="240" w:lineRule="auto"/>
        <w:ind w:firstLine="540"/>
        <w:jc w:val="both"/>
        <w:outlineLvl w:val="2"/>
        <w:rPr>
          <w:rFonts w:ascii="Times New Roman" w:hAnsi="Times New Roman"/>
          <w:bCs/>
          <w:sz w:val="24"/>
          <w:szCs w:val="24"/>
          <w:lang w:eastAsia="ru-RU"/>
        </w:rPr>
      </w:pPr>
      <w:r>
        <w:rPr>
          <w:rFonts w:ascii="Times New Roman" w:hAnsi="Times New Roman"/>
          <w:bCs/>
          <w:sz w:val="24"/>
          <w:szCs w:val="24"/>
          <w:lang w:eastAsia="ru-RU"/>
        </w:rPr>
        <w:t xml:space="preserve">5. Официальный сайт рейтингового агентства РА Эксперт </w:t>
      </w:r>
      <w:r w:rsidRPr="00B87CFE">
        <w:rPr>
          <w:rFonts w:ascii="Times New Roman" w:hAnsi="Times New Roman"/>
          <w:bCs/>
          <w:sz w:val="24"/>
          <w:szCs w:val="24"/>
          <w:lang w:eastAsia="ru-RU"/>
        </w:rPr>
        <w:t>[</w:t>
      </w:r>
      <w:r>
        <w:rPr>
          <w:rFonts w:ascii="Times New Roman" w:hAnsi="Times New Roman"/>
          <w:bCs/>
          <w:sz w:val="24"/>
          <w:szCs w:val="24"/>
          <w:lang w:eastAsia="ru-RU"/>
        </w:rPr>
        <w:t>Электронный ресурс</w:t>
      </w:r>
      <w:r w:rsidRPr="00B87CFE">
        <w:rPr>
          <w:rFonts w:ascii="Times New Roman" w:hAnsi="Times New Roman"/>
          <w:bCs/>
          <w:sz w:val="24"/>
          <w:szCs w:val="24"/>
          <w:lang w:eastAsia="ru-RU"/>
        </w:rPr>
        <w:t>]</w:t>
      </w:r>
      <w:r>
        <w:rPr>
          <w:rFonts w:ascii="Times New Roman" w:hAnsi="Times New Roman"/>
          <w:bCs/>
          <w:sz w:val="24"/>
          <w:szCs w:val="24"/>
          <w:lang w:eastAsia="ru-RU"/>
        </w:rPr>
        <w:t xml:space="preserve">. </w:t>
      </w:r>
      <w:r w:rsidRPr="005D30EF">
        <w:rPr>
          <w:rFonts w:ascii="Times New Roman" w:hAnsi="Times New Roman"/>
          <w:sz w:val="24"/>
          <w:szCs w:val="24"/>
          <w:lang w:val="en-US"/>
        </w:rPr>
        <w:t>URL</w:t>
      </w:r>
      <w:r w:rsidRPr="005D30EF">
        <w:rPr>
          <w:rFonts w:ascii="Times New Roman" w:hAnsi="Times New Roman"/>
          <w:sz w:val="24"/>
          <w:szCs w:val="24"/>
        </w:rPr>
        <w:t>:</w:t>
      </w:r>
      <w:r>
        <w:rPr>
          <w:rFonts w:ascii="Times New Roman" w:hAnsi="Times New Roman"/>
          <w:sz w:val="24"/>
          <w:szCs w:val="24"/>
        </w:rPr>
        <w:t xml:space="preserve"> </w:t>
      </w:r>
      <w:hyperlink r:id="rId14" w:history="1">
        <w:r w:rsidRPr="00C76C86">
          <w:rPr>
            <w:rStyle w:val="Hyperlink"/>
            <w:rFonts w:ascii="Times New Roman" w:hAnsi="Times New Roman"/>
            <w:bCs/>
            <w:sz w:val="24"/>
            <w:szCs w:val="24"/>
            <w:lang w:eastAsia="ru-RU"/>
          </w:rPr>
          <w:t>http://raexpert.ru</w:t>
        </w:r>
      </w:hyperlink>
      <w:r>
        <w:rPr>
          <w:rFonts w:ascii="Times New Roman" w:hAnsi="Times New Roman"/>
          <w:bCs/>
          <w:sz w:val="24"/>
          <w:szCs w:val="24"/>
          <w:lang w:eastAsia="ru-RU"/>
        </w:rPr>
        <w:t xml:space="preserve"> </w:t>
      </w:r>
      <w:r w:rsidRPr="005D30EF">
        <w:rPr>
          <w:rFonts w:ascii="Times New Roman" w:hAnsi="Times New Roman"/>
          <w:sz w:val="24"/>
          <w:szCs w:val="24"/>
        </w:rPr>
        <w:t>(дата обращения: 02.0</w:t>
      </w:r>
      <w:r>
        <w:rPr>
          <w:rFonts w:ascii="Times New Roman" w:hAnsi="Times New Roman"/>
          <w:sz w:val="24"/>
          <w:szCs w:val="24"/>
        </w:rPr>
        <w:t>3</w:t>
      </w:r>
      <w:r w:rsidRPr="005D30EF">
        <w:rPr>
          <w:rFonts w:ascii="Times New Roman" w:hAnsi="Times New Roman"/>
          <w:sz w:val="24"/>
          <w:szCs w:val="24"/>
        </w:rPr>
        <w:t>.2017).</w:t>
      </w:r>
    </w:p>
    <w:p w:rsidR="005D7A74" w:rsidRDefault="005D7A74" w:rsidP="00BD290B">
      <w:pPr>
        <w:tabs>
          <w:tab w:val="left" w:pos="900"/>
        </w:tabs>
        <w:spacing w:after="0" w:line="240" w:lineRule="auto"/>
        <w:ind w:firstLine="540"/>
        <w:jc w:val="both"/>
        <w:outlineLvl w:val="2"/>
        <w:rPr>
          <w:rFonts w:ascii="Times New Roman" w:hAnsi="Times New Roman"/>
          <w:sz w:val="24"/>
          <w:szCs w:val="24"/>
        </w:rPr>
      </w:pPr>
      <w:r>
        <w:rPr>
          <w:rStyle w:val="Strong"/>
          <w:rFonts w:ascii="Times New Roman" w:hAnsi="Times New Roman"/>
          <w:b w:val="0"/>
          <w:iCs/>
          <w:sz w:val="24"/>
          <w:szCs w:val="24"/>
        </w:rPr>
        <w:t>6</w:t>
      </w:r>
      <w:r w:rsidRPr="005D30EF">
        <w:rPr>
          <w:rStyle w:val="Strong"/>
          <w:rFonts w:ascii="Times New Roman" w:hAnsi="Times New Roman"/>
          <w:b w:val="0"/>
          <w:iCs/>
          <w:sz w:val="24"/>
          <w:szCs w:val="24"/>
        </w:rPr>
        <w:t>. Кэхилл М.</w:t>
      </w:r>
      <w:r w:rsidRPr="005D30EF">
        <w:rPr>
          <w:rFonts w:ascii="Times New Roman" w:hAnsi="Times New Roman"/>
          <w:sz w:val="24"/>
          <w:szCs w:val="24"/>
        </w:rPr>
        <w:t xml:space="preserve"> Инвестиционный анализ и оценка бизнеса: учеб. пособие; пер. с англ. 2-е изд. М.: Дело и Сервис, 2012. С. 87.</w:t>
      </w:r>
    </w:p>
    <w:p w:rsidR="005D7A74" w:rsidRDefault="005D7A74" w:rsidP="00BD290B">
      <w:pPr>
        <w:tabs>
          <w:tab w:val="left" w:pos="900"/>
        </w:tabs>
        <w:spacing w:after="0" w:line="240" w:lineRule="auto"/>
        <w:ind w:firstLine="540"/>
        <w:jc w:val="both"/>
        <w:outlineLvl w:val="2"/>
        <w:rPr>
          <w:rFonts w:ascii="Times New Roman" w:hAnsi="Times New Roman"/>
          <w:sz w:val="24"/>
          <w:szCs w:val="24"/>
        </w:rPr>
      </w:pPr>
      <w:r>
        <w:rPr>
          <w:rFonts w:ascii="Times New Roman" w:hAnsi="Times New Roman"/>
          <w:sz w:val="24"/>
          <w:szCs w:val="24"/>
        </w:rPr>
        <w:t xml:space="preserve">7. </w:t>
      </w:r>
      <w:r w:rsidRPr="00D62D4B">
        <w:rPr>
          <w:rFonts w:ascii="Times New Roman" w:hAnsi="Times New Roman"/>
          <w:sz w:val="24"/>
          <w:szCs w:val="24"/>
        </w:rPr>
        <w:t>Ковалерова Л.А., Чернявская М.А. Некоторые аспекты регулирования банковской деятельности в РФ / В сборнике: Наука и образование: сохраняя прошлое, создаём будущее сборник статей VI международной научно-практической конференции. 2016. С. 109-111.</w:t>
      </w:r>
    </w:p>
    <w:p w:rsidR="005D7A74" w:rsidRDefault="005D7A74" w:rsidP="00BD290B">
      <w:pPr>
        <w:tabs>
          <w:tab w:val="left" w:pos="900"/>
        </w:tabs>
        <w:spacing w:after="0" w:line="240" w:lineRule="auto"/>
        <w:ind w:firstLine="540"/>
        <w:jc w:val="both"/>
        <w:outlineLvl w:val="2"/>
        <w:rPr>
          <w:rFonts w:ascii="Times New Roman" w:hAnsi="Times New Roman"/>
          <w:sz w:val="24"/>
          <w:szCs w:val="24"/>
        </w:rPr>
      </w:pPr>
      <w:r>
        <w:rPr>
          <w:rFonts w:ascii="Times New Roman" w:hAnsi="Times New Roman"/>
          <w:sz w:val="24"/>
          <w:szCs w:val="24"/>
        </w:rPr>
        <w:t xml:space="preserve">8. </w:t>
      </w:r>
      <w:r w:rsidRPr="00D62D4B">
        <w:rPr>
          <w:rFonts w:ascii="Times New Roman" w:hAnsi="Times New Roman"/>
          <w:sz w:val="24"/>
          <w:szCs w:val="24"/>
        </w:rPr>
        <w:t>Савинова Е.А. Россия в системе международных финансовых отношений // Экономика Профессия Бизнес. 2017. № 1. С. 72-75.</w:t>
      </w:r>
    </w:p>
    <w:p w:rsidR="005D7A74" w:rsidRDefault="005D7A74" w:rsidP="00BD290B">
      <w:pPr>
        <w:tabs>
          <w:tab w:val="left" w:pos="900"/>
        </w:tabs>
        <w:spacing w:after="0" w:line="240" w:lineRule="auto"/>
        <w:ind w:firstLine="540"/>
        <w:jc w:val="both"/>
        <w:outlineLvl w:val="2"/>
        <w:rPr>
          <w:rFonts w:ascii="Times New Roman" w:hAnsi="Times New Roman"/>
          <w:sz w:val="24"/>
          <w:szCs w:val="24"/>
        </w:rPr>
      </w:pPr>
      <w:r>
        <w:rPr>
          <w:rFonts w:ascii="Times New Roman" w:hAnsi="Times New Roman"/>
          <w:sz w:val="24"/>
          <w:szCs w:val="24"/>
        </w:rPr>
        <w:t xml:space="preserve">9. </w:t>
      </w:r>
      <w:r w:rsidRPr="00D62D4B">
        <w:rPr>
          <w:rFonts w:ascii="Times New Roman" w:hAnsi="Times New Roman"/>
          <w:sz w:val="24"/>
          <w:szCs w:val="24"/>
        </w:rPr>
        <w:t>Баранова И.А. Модели экономического роста в Западной Европе и США: сравнение и анализ // Экономика. Социология. Право. 2016. № 4. С. 9-13.</w:t>
      </w:r>
    </w:p>
    <w:p w:rsidR="005D7A74" w:rsidRDefault="005D7A74" w:rsidP="00BD290B">
      <w:pPr>
        <w:tabs>
          <w:tab w:val="left" w:pos="900"/>
        </w:tabs>
        <w:spacing w:after="0" w:line="240" w:lineRule="auto"/>
        <w:ind w:firstLine="540"/>
        <w:jc w:val="both"/>
        <w:outlineLvl w:val="2"/>
        <w:rPr>
          <w:rFonts w:ascii="Times New Roman" w:hAnsi="Times New Roman"/>
          <w:sz w:val="24"/>
          <w:szCs w:val="24"/>
        </w:rPr>
      </w:pPr>
      <w:r>
        <w:rPr>
          <w:rFonts w:ascii="Times New Roman" w:hAnsi="Times New Roman"/>
          <w:sz w:val="24"/>
          <w:szCs w:val="24"/>
        </w:rPr>
        <w:t xml:space="preserve">10. </w:t>
      </w:r>
      <w:r w:rsidRPr="00D62D4B">
        <w:rPr>
          <w:rFonts w:ascii="Times New Roman" w:hAnsi="Times New Roman"/>
          <w:sz w:val="24"/>
          <w:szCs w:val="24"/>
        </w:rPr>
        <w:t>Глушак Н.В., Муравьева М.А., Назарова О.Г., Ребрина Т.Г., Силаева В.В. Управление инновационными процессами в экономике как мера обеспечения экономической безопасности страны//</w:t>
      </w:r>
      <w:r>
        <w:rPr>
          <w:rFonts w:ascii="Times New Roman" w:hAnsi="Times New Roman"/>
          <w:sz w:val="24"/>
          <w:szCs w:val="24"/>
        </w:rPr>
        <w:t xml:space="preserve"> </w:t>
      </w:r>
      <w:r w:rsidRPr="00D62D4B">
        <w:rPr>
          <w:rFonts w:ascii="Times New Roman" w:hAnsi="Times New Roman"/>
          <w:sz w:val="24"/>
          <w:szCs w:val="24"/>
        </w:rPr>
        <w:t>Казанская наука. 2015. № 2.</w:t>
      </w:r>
    </w:p>
    <w:p w:rsidR="005D7A74" w:rsidRDefault="005D7A74" w:rsidP="00BD290B">
      <w:pPr>
        <w:tabs>
          <w:tab w:val="left" w:pos="900"/>
        </w:tabs>
        <w:spacing w:after="0" w:line="240" w:lineRule="auto"/>
        <w:ind w:firstLine="540"/>
        <w:jc w:val="both"/>
        <w:outlineLvl w:val="2"/>
        <w:rPr>
          <w:rFonts w:ascii="Times New Roman" w:hAnsi="Times New Roman"/>
          <w:sz w:val="24"/>
          <w:szCs w:val="24"/>
        </w:rPr>
      </w:pPr>
    </w:p>
    <w:p w:rsidR="005D7A74" w:rsidRPr="008A2100" w:rsidRDefault="005D7A74" w:rsidP="00BD290B">
      <w:pPr>
        <w:tabs>
          <w:tab w:val="left" w:pos="900"/>
        </w:tabs>
        <w:spacing w:after="0" w:line="240" w:lineRule="auto"/>
        <w:ind w:firstLine="540"/>
        <w:jc w:val="both"/>
        <w:outlineLvl w:val="2"/>
        <w:rPr>
          <w:rFonts w:ascii="Times New Roman" w:hAnsi="Times New Roman"/>
          <w:b/>
          <w:sz w:val="24"/>
          <w:szCs w:val="24"/>
        </w:rPr>
      </w:pPr>
      <w:r>
        <w:rPr>
          <w:rFonts w:ascii="Times New Roman" w:hAnsi="Times New Roman"/>
          <w:b/>
          <w:sz w:val="24"/>
          <w:szCs w:val="24"/>
          <w:lang w:val="en-US"/>
        </w:rPr>
        <w:t>References</w:t>
      </w:r>
    </w:p>
    <w:p w:rsidR="005D7A74" w:rsidRPr="00C84F33" w:rsidRDefault="005D7A74" w:rsidP="00BD290B">
      <w:pPr>
        <w:tabs>
          <w:tab w:val="left" w:pos="900"/>
        </w:tabs>
        <w:spacing w:after="0" w:line="240" w:lineRule="auto"/>
        <w:ind w:firstLine="540"/>
        <w:jc w:val="both"/>
        <w:outlineLvl w:val="2"/>
        <w:rPr>
          <w:rFonts w:ascii="Times New Roman" w:hAnsi="Times New Roman"/>
          <w:sz w:val="24"/>
          <w:szCs w:val="24"/>
        </w:rPr>
      </w:pPr>
      <w:r w:rsidRPr="00C84F33">
        <w:rPr>
          <w:rFonts w:ascii="Times New Roman" w:hAnsi="Times New Roman"/>
          <w:sz w:val="24"/>
          <w:szCs w:val="24"/>
        </w:rPr>
        <w:t>1. Federal'nyj zakon Rossijskoj Federacii ot 13 ijulja 2015 g. № 222-FZ «O dejatel'nosti kreditnyh rejtingovyh agentstv v Rossijskoj Federacii».</w:t>
      </w:r>
    </w:p>
    <w:p w:rsidR="005D7A74" w:rsidRPr="00C84F33" w:rsidRDefault="005D7A74" w:rsidP="00BD290B">
      <w:pPr>
        <w:tabs>
          <w:tab w:val="left" w:pos="900"/>
        </w:tabs>
        <w:spacing w:after="0" w:line="240" w:lineRule="auto"/>
        <w:ind w:firstLine="540"/>
        <w:jc w:val="both"/>
        <w:outlineLvl w:val="2"/>
        <w:rPr>
          <w:rFonts w:ascii="Times New Roman" w:hAnsi="Times New Roman"/>
          <w:sz w:val="24"/>
          <w:szCs w:val="24"/>
        </w:rPr>
      </w:pPr>
      <w:r w:rsidRPr="00C84F33">
        <w:rPr>
          <w:rFonts w:ascii="Times New Roman" w:hAnsi="Times New Roman"/>
          <w:sz w:val="24"/>
          <w:szCs w:val="24"/>
        </w:rPr>
        <w:t>2. Kovalerova L.A., Glushak E.N. Bankovskaja sistema i ejo rol' v jekonomike RF / V sbornike: Nauka i obrazovanie: sohranjaja proshloe, sozdajom budushhee sbornik statej VI mezhdunarodnoj nauchno-prakticheskoj konferencii. 2016. S. 89-91.</w:t>
      </w:r>
    </w:p>
    <w:p w:rsidR="005D7A74" w:rsidRPr="00C84F33" w:rsidRDefault="005D7A74" w:rsidP="00BD290B">
      <w:pPr>
        <w:tabs>
          <w:tab w:val="left" w:pos="900"/>
        </w:tabs>
        <w:spacing w:after="0" w:line="240" w:lineRule="auto"/>
        <w:ind w:firstLine="540"/>
        <w:jc w:val="both"/>
        <w:outlineLvl w:val="2"/>
        <w:rPr>
          <w:rFonts w:ascii="Times New Roman" w:hAnsi="Times New Roman"/>
          <w:sz w:val="24"/>
          <w:szCs w:val="24"/>
        </w:rPr>
      </w:pPr>
      <w:r w:rsidRPr="00C84F33">
        <w:rPr>
          <w:rFonts w:ascii="Times New Roman" w:hAnsi="Times New Roman"/>
          <w:sz w:val="24"/>
          <w:szCs w:val="24"/>
        </w:rPr>
        <w:t>3. Finansovyj rynok Rossii: sovremennye harakteristiki, instrumenty, reguljatory. Monografija/ Pod obshhej redakciej A.G. Rulinskoj. – Moskva: OOO «Izdatel'stvo «Mir nauki»», 2015. – 122 s.</w:t>
      </w:r>
    </w:p>
    <w:p w:rsidR="005D7A74" w:rsidRPr="00C84F33" w:rsidRDefault="005D7A74" w:rsidP="00BD290B">
      <w:pPr>
        <w:tabs>
          <w:tab w:val="left" w:pos="900"/>
        </w:tabs>
        <w:spacing w:after="0" w:line="240" w:lineRule="auto"/>
        <w:ind w:firstLine="540"/>
        <w:jc w:val="both"/>
        <w:outlineLvl w:val="2"/>
        <w:rPr>
          <w:rFonts w:ascii="Times New Roman" w:hAnsi="Times New Roman"/>
          <w:sz w:val="24"/>
          <w:szCs w:val="24"/>
          <w:lang w:val="en-US"/>
        </w:rPr>
      </w:pPr>
      <w:r w:rsidRPr="00C84F33">
        <w:rPr>
          <w:rFonts w:ascii="Times New Roman" w:hAnsi="Times New Roman"/>
          <w:sz w:val="24"/>
          <w:szCs w:val="24"/>
        </w:rPr>
        <w:t xml:space="preserve">4. Savinova E.A., Saltykova O.I. Ocenka nadezhnosti banka na primere PAO «Moskovskij industrial'nyj bank» // Innovacionnoe razvitie jekonomiki. </w:t>
      </w:r>
      <w:r w:rsidRPr="00C84F33">
        <w:rPr>
          <w:rFonts w:ascii="Times New Roman" w:hAnsi="Times New Roman"/>
          <w:sz w:val="24"/>
          <w:szCs w:val="24"/>
          <w:lang w:val="en-US"/>
        </w:rPr>
        <w:t>2016. № 6(36). S. 155-158.</w:t>
      </w:r>
    </w:p>
    <w:p w:rsidR="005D7A74" w:rsidRPr="00C84F33" w:rsidRDefault="005D7A74" w:rsidP="00BD290B">
      <w:pPr>
        <w:tabs>
          <w:tab w:val="left" w:pos="900"/>
        </w:tabs>
        <w:spacing w:after="0" w:line="240" w:lineRule="auto"/>
        <w:ind w:firstLine="540"/>
        <w:jc w:val="both"/>
        <w:outlineLvl w:val="2"/>
        <w:rPr>
          <w:rFonts w:ascii="Times New Roman" w:hAnsi="Times New Roman"/>
          <w:sz w:val="24"/>
          <w:szCs w:val="24"/>
          <w:lang w:val="en-US"/>
        </w:rPr>
      </w:pPr>
      <w:r w:rsidRPr="00C84F33">
        <w:rPr>
          <w:rFonts w:ascii="Times New Roman" w:hAnsi="Times New Roman"/>
          <w:sz w:val="24"/>
          <w:szCs w:val="24"/>
          <w:lang w:val="en-US"/>
        </w:rPr>
        <w:t>5. Oficial'nyj sajt rejtingovogo agentstva RA Jekspert [Jelektronnyj resurs]. URL: http://raexpert.ru (data obrashhenija: 02.03.2017).</w:t>
      </w:r>
    </w:p>
    <w:p w:rsidR="005D7A74" w:rsidRPr="00C84F33" w:rsidRDefault="005D7A74" w:rsidP="00BD290B">
      <w:pPr>
        <w:tabs>
          <w:tab w:val="left" w:pos="900"/>
        </w:tabs>
        <w:spacing w:after="0" w:line="240" w:lineRule="auto"/>
        <w:ind w:firstLine="540"/>
        <w:jc w:val="both"/>
        <w:outlineLvl w:val="2"/>
        <w:rPr>
          <w:rFonts w:ascii="Times New Roman" w:hAnsi="Times New Roman"/>
          <w:sz w:val="24"/>
          <w:szCs w:val="24"/>
          <w:lang w:val="en-US"/>
        </w:rPr>
      </w:pPr>
      <w:r w:rsidRPr="00C84F33">
        <w:rPr>
          <w:rFonts w:ascii="Times New Roman" w:hAnsi="Times New Roman"/>
          <w:sz w:val="24"/>
          <w:szCs w:val="24"/>
          <w:lang w:val="en-US"/>
        </w:rPr>
        <w:t>6. Kjehill M. Investicionnyj analiz i ocenka biznesa: ucheb. posobie; per. s angl. 2-e izd. M.: Delo i Servis, 2012. S. 87.</w:t>
      </w:r>
    </w:p>
    <w:p w:rsidR="005D7A74" w:rsidRPr="00C84F33" w:rsidRDefault="005D7A74" w:rsidP="00BD290B">
      <w:pPr>
        <w:tabs>
          <w:tab w:val="left" w:pos="900"/>
        </w:tabs>
        <w:spacing w:after="0" w:line="240" w:lineRule="auto"/>
        <w:ind w:firstLine="540"/>
        <w:jc w:val="both"/>
        <w:outlineLvl w:val="2"/>
        <w:rPr>
          <w:rFonts w:ascii="Times New Roman" w:hAnsi="Times New Roman"/>
          <w:sz w:val="24"/>
          <w:szCs w:val="24"/>
          <w:lang w:val="en-US"/>
        </w:rPr>
      </w:pPr>
      <w:r w:rsidRPr="00C84F33">
        <w:rPr>
          <w:rFonts w:ascii="Times New Roman" w:hAnsi="Times New Roman"/>
          <w:sz w:val="24"/>
          <w:szCs w:val="24"/>
          <w:lang w:val="en-US"/>
        </w:rPr>
        <w:t>7. Kovalerova L.A., Chernjavskaja M.A. Nekotorye aspekty regulirovanija bankovskoj dejatel'nosti v RF / V sbornike: Nauka i obrazovanie: sohranjaja proshloe, sozdajom budushhee sbornik statej VI mezhdunarodnoj nauchno-prakticheskoj konferencii. 2016. S. 109-111.</w:t>
      </w:r>
    </w:p>
    <w:p w:rsidR="005D7A74" w:rsidRPr="00C84F33" w:rsidRDefault="005D7A74" w:rsidP="00BD290B">
      <w:pPr>
        <w:tabs>
          <w:tab w:val="left" w:pos="900"/>
        </w:tabs>
        <w:spacing w:after="0" w:line="240" w:lineRule="auto"/>
        <w:ind w:firstLine="540"/>
        <w:jc w:val="both"/>
        <w:outlineLvl w:val="2"/>
        <w:rPr>
          <w:rFonts w:ascii="Times New Roman" w:hAnsi="Times New Roman"/>
          <w:sz w:val="24"/>
          <w:szCs w:val="24"/>
          <w:lang w:val="en-US"/>
        </w:rPr>
      </w:pPr>
      <w:r w:rsidRPr="00C84F33">
        <w:rPr>
          <w:rFonts w:ascii="Times New Roman" w:hAnsi="Times New Roman"/>
          <w:sz w:val="24"/>
          <w:szCs w:val="24"/>
          <w:lang w:val="en-US"/>
        </w:rPr>
        <w:t>8. Savinova E.A. Rossija v sisteme mezhdunarodnyh finansovyh otnoshenij // Jekonomika Professija Biznes. 2017. № 1. S. 72-75.</w:t>
      </w:r>
    </w:p>
    <w:p w:rsidR="005D7A74" w:rsidRPr="00663B3A" w:rsidRDefault="005D7A74" w:rsidP="00BD290B">
      <w:pPr>
        <w:tabs>
          <w:tab w:val="left" w:pos="900"/>
        </w:tabs>
        <w:spacing w:after="0" w:line="240" w:lineRule="auto"/>
        <w:ind w:firstLine="540"/>
        <w:jc w:val="both"/>
        <w:outlineLvl w:val="2"/>
        <w:rPr>
          <w:rFonts w:ascii="Times New Roman" w:hAnsi="Times New Roman"/>
          <w:sz w:val="24"/>
          <w:szCs w:val="24"/>
          <w:lang w:val="en-US"/>
        </w:rPr>
      </w:pPr>
      <w:r w:rsidRPr="00C84F33">
        <w:rPr>
          <w:rFonts w:ascii="Times New Roman" w:hAnsi="Times New Roman"/>
          <w:sz w:val="24"/>
          <w:szCs w:val="24"/>
          <w:lang w:val="en-US"/>
        </w:rPr>
        <w:t xml:space="preserve">9. Baranova I.A. Modeli jekonomicheskogo rosta v Zapadnoj Evrope i SShA: sravnenie i analiz // Jekonomika. </w:t>
      </w:r>
      <w:r w:rsidRPr="00663B3A">
        <w:rPr>
          <w:rFonts w:ascii="Times New Roman" w:hAnsi="Times New Roman"/>
          <w:sz w:val="24"/>
          <w:szCs w:val="24"/>
          <w:lang w:val="en-US"/>
        </w:rPr>
        <w:t>Sociologija. Pravo. 2016. № 4. S. 9-13.</w:t>
      </w:r>
    </w:p>
    <w:p w:rsidR="005D7A74" w:rsidRPr="005D30EF" w:rsidRDefault="005D7A74" w:rsidP="00BD290B">
      <w:pPr>
        <w:tabs>
          <w:tab w:val="left" w:pos="900"/>
        </w:tabs>
        <w:spacing w:after="0" w:line="240" w:lineRule="auto"/>
        <w:ind w:firstLine="540"/>
        <w:jc w:val="both"/>
        <w:outlineLvl w:val="2"/>
        <w:rPr>
          <w:rFonts w:ascii="Times New Roman" w:hAnsi="Times New Roman"/>
          <w:sz w:val="24"/>
          <w:szCs w:val="24"/>
        </w:rPr>
      </w:pPr>
      <w:r w:rsidRPr="00663B3A">
        <w:rPr>
          <w:rFonts w:ascii="Times New Roman" w:hAnsi="Times New Roman"/>
          <w:sz w:val="24"/>
          <w:szCs w:val="24"/>
          <w:lang w:val="en-US"/>
        </w:rPr>
        <w:t xml:space="preserve">10. Glushak N.V., Murav'eva M.A., Nazarova O.G., Rebrina T.G., Silaeva V.V. Upravlenie innovacionnymi processami v jekonomike kak mera obespechenija jekonomicheskoj bezopasnosti strany// Kazanskaja nauka. </w:t>
      </w:r>
      <w:r w:rsidRPr="00C84F33">
        <w:rPr>
          <w:rFonts w:ascii="Times New Roman" w:hAnsi="Times New Roman"/>
          <w:sz w:val="24"/>
          <w:szCs w:val="24"/>
        </w:rPr>
        <w:t>2015. № 2.</w:t>
      </w:r>
    </w:p>
    <w:sectPr w:rsidR="005D7A74" w:rsidRPr="005D30EF" w:rsidSect="00BD290B">
      <w:headerReference w:type="even" r:id="rId15"/>
      <w:headerReference w:type="default" r:id="rId16"/>
      <w:footerReference w:type="default" r:id="rId17"/>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D7A74" w:rsidRDefault="005D7A74" w:rsidP="00E27C9B">
      <w:pPr>
        <w:spacing w:after="0" w:line="240" w:lineRule="auto"/>
      </w:pPr>
      <w:r>
        <w:separator/>
      </w:r>
    </w:p>
  </w:endnote>
  <w:endnote w:type="continuationSeparator" w:id="0">
    <w:p w:rsidR="005D7A74" w:rsidRDefault="005D7A74" w:rsidP="00E27C9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alibri">
    <w:altName w:val="Century Gothic"/>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7A74" w:rsidRDefault="005D7A74">
    <w:pPr>
      <w:pStyle w:val="Footer"/>
    </w:pPr>
    <w:r w:rsidRPr="0031414F">
      <w:rPr>
        <w:rFonts w:ascii="Times New Roman" w:hAnsi="Times New Roman"/>
        <w:sz w:val="24"/>
        <w:szCs w:val="24"/>
      </w:rPr>
      <w:t>http://ej.kubagro.ru/2017/0</w:t>
    </w:r>
    <w:r>
      <w:rPr>
        <w:rFonts w:ascii="Times New Roman" w:hAnsi="Times New Roman"/>
        <w:sz w:val="24"/>
        <w:szCs w:val="24"/>
      </w:rPr>
      <w:t>3</w:t>
    </w:r>
    <w:r w:rsidRPr="0031414F">
      <w:rPr>
        <w:rFonts w:ascii="Times New Roman" w:hAnsi="Times New Roman"/>
        <w:sz w:val="24"/>
        <w:szCs w:val="24"/>
      </w:rPr>
      <w:t>/pdf/</w:t>
    </w:r>
    <w:r>
      <w:rPr>
        <w:rFonts w:ascii="Times New Roman" w:hAnsi="Times New Roman"/>
        <w:sz w:val="24"/>
        <w:szCs w:val="24"/>
      </w:rPr>
      <w:t>2</w:t>
    </w:r>
    <w:r>
      <w:rPr>
        <w:rFonts w:ascii="Times New Roman" w:hAnsi="Times New Roman"/>
        <w:sz w:val="24"/>
        <w:szCs w:val="24"/>
        <w:lang w:val="en-US"/>
      </w:rPr>
      <w:t>2</w:t>
    </w:r>
    <w:r w:rsidRPr="0031414F">
      <w:rPr>
        <w:rFonts w:ascii="Times New Roman" w:hAnsi="Times New Roman"/>
        <w:sz w:val="24"/>
        <w:szCs w:val="24"/>
      </w:rPr>
      <w:t>.pdf</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D7A74" w:rsidRDefault="005D7A74" w:rsidP="00E27C9B">
      <w:pPr>
        <w:spacing w:after="0" w:line="240" w:lineRule="auto"/>
      </w:pPr>
      <w:r>
        <w:separator/>
      </w:r>
    </w:p>
  </w:footnote>
  <w:footnote w:type="continuationSeparator" w:id="0">
    <w:p w:rsidR="005D7A74" w:rsidRDefault="005D7A74" w:rsidP="00E27C9B">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7A74" w:rsidRDefault="005D7A74" w:rsidP="000B7845">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5D7A74" w:rsidRDefault="005D7A74" w:rsidP="00663B3A">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7A74" w:rsidRPr="00663B3A" w:rsidRDefault="005D7A74" w:rsidP="000B7845">
    <w:pPr>
      <w:pStyle w:val="Header"/>
      <w:framePr w:wrap="around" w:vAnchor="text" w:hAnchor="margin" w:xAlign="right" w:y="1"/>
      <w:rPr>
        <w:rStyle w:val="PageNumber"/>
        <w:rFonts w:ascii="Times New Roman" w:hAnsi="Times New Roman"/>
        <w:sz w:val="28"/>
        <w:szCs w:val="28"/>
      </w:rPr>
    </w:pPr>
    <w:r w:rsidRPr="00663B3A">
      <w:rPr>
        <w:rStyle w:val="PageNumber"/>
        <w:rFonts w:ascii="Times New Roman" w:hAnsi="Times New Roman"/>
        <w:sz w:val="28"/>
        <w:szCs w:val="28"/>
      </w:rPr>
      <w:fldChar w:fldCharType="begin"/>
    </w:r>
    <w:r w:rsidRPr="00663B3A">
      <w:rPr>
        <w:rStyle w:val="PageNumber"/>
        <w:rFonts w:ascii="Times New Roman" w:hAnsi="Times New Roman"/>
        <w:sz w:val="28"/>
        <w:szCs w:val="28"/>
      </w:rPr>
      <w:instrText xml:space="preserve">PAGE  </w:instrText>
    </w:r>
    <w:r w:rsidRPr="00663B3A">
      <w:rPr>
        <w:rStyle w:val="PageNumber"/>
        <w:rFonts w:ascii="Times New Roman" w:hAnsi="Times New Roman"/>
        <w:sz w:val="28"/>
        <w:szCs w:val="28"/>
      </w:rPr>
      <w:fldChar w:fldCharType="separate"/>
    </w:r>
    <w:r>
      <w:rPr>
        <w:rStyle w:val="PageNumber"/>
        <w:rFonts w:ascii="Times New Roman" w:hAnsi="Times New Roman"/>
        <w:noProof/>
        <w:sz w:val="28"/>
        <w:szCs w:val="28"/>
      </w:rPr>
      <w:t>13</w:t>
    </w:r>
    <w:r w:rsidRPr="00663B3A">
      <w:rPr>
        <w:rStyle w:val="PageNumber"/>
        <w:rFonts w:ascii="Times New Roman" w:hAnsi="Times New Roman"/>
        <w:sz w:val="28"/>
        <w:szCs w:val="28"/>
      </w:rPr>
      <w:fldChar w:fldCharType="end"/>
    </w:r>
  </w:p>
  <w:p w:rsidR="005D7A74" w:rsidRPr="00663B3A" w:rsidRDefault="005D7A74" w:rsidP="00663B3A">
    <w:pPr>
      <w:pStyle w:val="Header"/>
      <w:ind w:right="360"/>
      <w:rPr>
        <w:lang w:val="en-US"/>
      </w:rPr>
    </w:pPr>
    <w:r w:rsidRPr="00BF15AB">
      <w:rPr>
        <w:rFonts w:ascii="Times New Roman" w:hAnsi="Times New Roman"/>
        <w:sz w:val="24"/>
        <w:szCs w:val="24"/>
      </w:rPr>
      <w:t>Научный журнал КубГАУ, №12</w:t>
    </w:r>
    <w:r>
      <w:rPr>
        <w:rFonts w:ascii="Times New Roman" w:hAnsi="Times New Roman"/>
        <w:sz w:val="24"/>
        <w:szCs w:val="24"/>
      </w:rPr>
      <w:t>7</w:t>
    </w:r>
    <w:r w:rsidRPr="00BF15AB">
      <w:rPr>
        <w:rFonts w:ascii="Times New Roman" w:hAnsi="Times New Roman"/>
        <w:sz w:val="24"/>
        <w:szCs w:val="24"/>
      </w:rPr>
      <w:t>(0</w:t>
    </w:r>
    <w:r>
      <w:rPr>
        <w:rFonts w:ascii="Times New Roman" w:hAnsi="Times New Roman"/>
        <w:sz w:val="24"/>
        <w:szCs w:val="24"/>
      </w:rPr>
      <w:t>3</w:t>
    </w:r>
    <w:r w:rsidRPr="00BF15AB">
      <w:rPr>
        <w:rFonts w:ascii="Times New Roman" w:hAnsi="Times New Roman"/>
        <w:sz w:val="24"/>
        <w:szCs w:val="24"/>
      </w:rPr>
      <w:t>), 2017 года</w:t>
    </w:r>
  </w:p>
  <w:p w:rsidR="005D7A74" w:rsidRDefault="005D7A74">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9B3F7E"/>
    <w:multiLevelType w:val="multilevel"/>
    <w:tmpl w:val="ECD2EB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nsid w:val="1E0D0C66"/>
    <w:multiLevelType w:val="hybridMultilevel"/>
    <w:tmpl w:val="9208E8F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1E3A5EDD"/>
    <w:multiLevelType w:val="multilevel"/>
    <w:tmpl w:val="0AFCB6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nsid w:val="4FC33A39"/>
    <w:multiLevelType w:val="multilevel"/>
    <w:tmpl w:val="9D94BB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nsid w:val="56CD2E7B"/>
    <w:multiLevelType w:val="hybridMultilevel"/>
    <w:tmpl w:val="29A29A3A"/>
    <w:lvl w:ilvl="0" w:tplc="94367140">
      <w:start w:val="1"/>
      <w:numFmt w:val="decimal"/>
      <w:lvlText w:val="%1."/>
      <w:lvlJc w:val="left"/>
      <w:pPr>
        <w:ind w:left="720" w:hanging="360"/>
      </w:pPr>
      <w:rPr>
        <w:rFonts w:ascii="Calibri" w:eastAsia="Times New Roman" w:hAnsi="Calibri" w:cs="Times New Roman" w:hint="default"/>
        <w:b/>
        <w:i/>
        <w:sz w:val="22"/>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63394795"/>
    <w:multiLevelType w:val="hybridMultilevel"/>
    <w:tmpl w:val="A73C4A00"/>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671427E5"/>
    <w:multiLevelType w:val="multilevel"/>
    <w:tmpl w:val="4F34133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num w:numId="1">
    <w:abstractNumId w:val="3"/>
  </w:num>
  <w:num w:numId="2">
    <w:abstractNumId w:val="0"/>
  </w:num>
  <w:num w:numId="3">
    <w:abstractNumId w:val="2"/>
  </w:num>
  <w:num w:numId="4">
    <w:abstractNumId w:val="4"/>
  </w:num>
  <w:num w:numId="5">
    <w:abstractNumId w:val="6"/>
    <w:lvlOverride w:ilvl="0">
      <w:lvl w:ilvl="0">
        <w:numFmt w:val="bullet"/>
        <w:lvlText w:val=""/>
        <w:lvlJc w:val="left"/>
        <w:pPr>
          <w:tabs>
            <w:tab w:val="num" w:pos="720"/>
          </w:tabs>
          <w:ind w:left="720" w:hanging="360"/>
        </w:pPr>
        <w:rPr>
          <w:rFonts w:ascii="Symbol" w:hAnsi="Symbol" w:hint="default"/>
          <w:sz w:val="20"/>
        </w:rPr>
      </w:lvl>
    </w:lvlOverride>
  </w:num>
  <w:num w:numId="6">
    <w:abstractNumId w:val="5"/>
  </w:num>
  <w:num w:numId="7">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26045"/>
    <w:rsid w:val="0003320A"/>
    <w:rsid w:val="00067746"/>
    <w:rsid w:val="00070CF1"/>
    <w:rsid w:val="000832D7"/>
    <w:rsid w:val="000B189E"/>
    <w:rsid w:val="000B4639"/>
    <w:rsid w:val="000B7845"/>
    <w:rsid w:val="000D4BAB"/>
    <w:rsid w:val="00102FAD"/>
    <w:rsid w:val="00120B9D"/>
    <w:rsid w:val="00133634"/>
    <w:rsid w:val="0014678C"/>
    <w:rsid w:val="002526E2"/>
    <w:rsid w:val="0026112C"/>
    <w:rsid w:val="00287C98"/>
    <w:rsid w:val="002C6557"/>
    <w:rsid w:val="0031414F"/>
    <w:rsid w:val="003167F1"/>
    <w:rsid w:val="00341109"/>
    <w:rsid w:val="00347068"/>
    <w:rsid w:val="00376FD7"/>
    <w:rsid w:val="00385682"/>
    <w:rsid w:val="004256CE"/>
    <w:rsid w:val="00431E91"/>
    <w:rsid w:val="00477E04"/>
    <w:rsid w:val="0049089E"/>
    <w:rsid w:val="004F539A"/>
    <w:rsid w:val="005032C9"/>
    <w:rsid w:val="00544362"/>
    <w:rsid w:val="005A503B"/>
    <w:rsid w:val="005D30EF"/>
    <w:rsid w:val="005D7A74"/>
    <w:rsid w:val="005F530D"/>
    <w:rsid w:val="00622B1D"/>
    <w:rsid w:val="00634C9A"/>
    <w:rsid w:val="00663B3A"/>
    <w:rsid w:val="00676E1D"/>
    <w:rsid w:val="006773B8"/>
    <w:rsid w:val="006B4DD5"/>
    <w:rsid w:val="006C0CCB"/>
    <w:rsid w:val="006F70E5"/>
    <w:rsid w:val="00714452"/>
    <w:rsid w:val="007C1A84"/>
    <w:rsid w:val="007D7614"/>
    <w:rsid w:val="0081350B"/>
    <w:rsid w:val="008A2100"/>
    <w:rsid w:val="008B6A06"/>
    <w:rsid w:val="008D1C9D"/>
    <w:rsid w:val="00920766"/>
    <w:rsid w:val="00974A77"/>
    <w:rsid w:val="009976B2"/>
    <w:rsid w:val="00A1303C"/>
    <w:rsid w:val="00A43BCF"/>
    <w:rsid w:val="00A71D75"/>
    <w:rsid w:val="00A80C20"/>
    <w:rsid w:val="00AD09D8"/>
    <w:rsid w:val="00AD53CE"/>
    <w:rsid w:val="00AD70E0"/>
    <w:rsid w:val="00B235D0"/>
    <w:rsid w:val="00B5679F"/>
    <w:rsid w:val="00B87CFE"/>
    <w:rsid w:val="00BD290B"/>
    <w:rsid w:val="00BF15AB"/>
    <w:rsid w:val="00C26045"/>
    <w:rsid w:val="00C33A90"/>
    <w:rsid w:val="00C76C86"/>
    <w:rsid w:val="00C84F33"/>
    <w:rsid w:val="00CA4602"/>
    <w:rsid w:val="00CC27B0"/>
    <w:rsid w:val="00CC35A9"/>
    <w:rsid w:val="00D273D6"/>
    <w:rsid w:val="00D47011"/>
    <w:rsid w:val="00D62D4B"/>
    <w:rsid w:val="00DB4F42"/>
    <w:rsid w:val="00DC3F29"/>
    <w:rsid w:val="00DD67E2"/>
    <w:rsid w:val="00E27C9B"/>
    <w:rsid w:val="00E51CCF"/>
    <w:rsid w:val="00E56D9A"/>
    <w:rsid w:val="00E842F7"/>
    <w:rsid w:val="00E86965"/>
    <w:rsid w:val="00EC33C5"/>
    <w:rsid w:val="00F93270"/>
    <w:rsid w:val="00F94E9C"/>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D1C9D"/>
    <w:pPr>
      <w:spacing w:after="160" w:line="259"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rsid w:val="008D1C9D"/>
    <w:rPr>
      <w:rFonts w:ascii="Times New Roman" w:hAnsi="Times New Roman"/>
      <w:sz w:val="24"/>
      <w:szCs w:val="24"/>
    </w:rPr>
  </w:style>
  <w:style w:type="table" w:styleId="TableGrid">
    <w:name w:val="Table Grid"/>
    <w:basedOn w:val="TableNormal"/>
    <w:uiPriority w:val="99"/>
    <w:rsid w:val="008D1C9D"/>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basedOn w:val="DefaultParagraphFont"/>
    <w:uiPriority w:val="99"/>
    <w:qFormat/>
    <w:rsid w:val="004256CE"/>
    <w:rPr>
      <w:rFonts w:cs="Times New Roman"/>
      <w:b/>
      <w:bCs/>
    </w:rPr>
  </w:style>
  <w:style w:type="paragraph" w:styleId="ListParagraph">
    <w:name w:val="List Paragraph"/>
    <w:basedOn w:val="Normal"/>
    <w:uiPriority w:val="99"/>
    <w:qFormat/>
    <w:rsid w:val="004256CE"/>
    <w:pPr>
      <w:ind w:left="720"/>
      <w:contextualSpacing/>
    </w:pPr>
  </w:style>
  <w:style w:type="paragraph" w:styleId="BalloonText">
    <w:name w:val="Balloon Text"/>
    <w:basedOn w:val="Normal"/>
    <w:link w:val="BalloonTextChar"/>
    <w:uiPriority w:val="99"/>
    <w:semiHidden/>
    <w:rsid w:val="0071445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714452"/>
    <w:rPr>
      <w:rFonts w:ascii="Tahoma" w:hAnsi="Tahoma" w:cs="Tahoma"/>
      <w:sz w:val="16"/>
      <w:szCs w:val="16"/>
    </w:rPr>
  </w:style>
  <w:style w:type="character" w:styleId="Hyperlink">
    <w:name w:val="Hyperlink"/>
    <w:basedOn w:val="DefaultParagraphFont"/>
    <w:uiPriority w:val="99"/>
    <w:rsid w:val="00B87CFE"/>
    <w:rPr>
      <w:rFonts w:cs="Times New Roman"/>
      <w:color w:val="0563C1"/>
      <w:u w:val="single"/>
    </w:rPr>
  </w:style>
  <w:style w:type="character" w:styleId="PlaceholderText">
    <w:name w:val="Placeholder Text"/>
    <w:basedOn w:val="DefaultParagraphFont"/>
    <w:uiPriority w:val="99"/>
    <w:semiHidden/>
    <w:rsid w:val="000D4BAB"/>
    <w:rPr>
      <w:rFonts w:cs="Times New Roman"/>
      <w:color w:val="808080"/>
    </w:rPr>
  </w:style>
  <w:style w:type="paragraph" w:styleId="Header">
    <w:name w:val="header"/>
    <w:basedOn w:val="Normal"/>
    <w:link w:val="HeaderChar"/>
    <w:uiPriority w:val="99"/>
    <w:rsid w:val="00E27C9B"/>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E27C9B"/>
    <w:rPr>
      <w:rFonts w:cs="Times New Roman"/>
    </w:rPr>
  </w:style>
  <w:style w:type="paragraph" w:styleId="Footer">
    <w:name w:val="footer"/>
    <w:basedOn w:val="Normal"/>
    <w:link w:val="FooterChar"/>
    <w:uiPriority w:val="99"/>
    <w:rsid w:val="00E27C9B"/>
    <w:pPr>
      <w:tabs>
        <w:tab w:val="center" w:pos="4677"/>
        <w:tab w:val="right" w:pos="9355"/>
      </w:tabs>
      <w:spacing w:after="0" w:line="240" w:lineRule="auto"/>
    </w:pPr>
  </w:style>
  <w:style w:type="character" w:customStyle="1" w:styleId="FooterChar">
    <w:name w:val="Footer Char"/>
    <w:basedOn w:val="DefaultParagraphFont"/>
    <w:link w:val="Footer"/>
    <w:uiPriority w:val="99"/>
    <w:locked/>
    <w:rsid w:val="00E27C9B"/>
    <w:rPr>
      <w:rFonts w:cs="Times New Roman"/>
    </w:rPr>
  </w:style>
  <w:style w:type="character" w:styleId="PageNumber">
    <w:name w:val="page number"/>
    <w:basedOn w:val="DefaultParagraphFont"/>
    <w:uiPriority w:val="99"/>
    <w:rsid w:val="00663B3A"/>
    <w:rPr>
      <w:rFonts w:cs="Times New Roman"/>
    </w:rPr>
  </w:style>
</w:styles>
</file>

<file path=word/webSettings.xml><?xml version="1.0" encoding="utf-8"?>
<w:webSettings xmlns:r="http://schemas.openxmlformats.org/officeDocument/2006/relationships" xmlns:w="http://schemas.openxmlformats.org/wordprocessingml/2006/main">
  <w:divs>
    <w:div w:id="363753240">
      <w:marLeft w:val="0"/>
      <w:marRight w:val="0"/>
      <w:marTop w:val="0"/>
      <w:marBottom w:val="0"/>
      <w:divBdr>
        <w:top w:val="none" w:sz="0" w:space="0" w:color="auto"/>
        <w:left w:val="none" w:sz="0" w:space="0" w:color="auto"/>
        <w:bottom w:val="none" w:sz="0" w:space="0" w:color="auto"/>
        <w:right w:val="none" w:sz="0" w:space="0" w:color="auto"/>
      </w:divBdr>
    </w:div>
    <w:div w:id="363753241">
      <w:marLeft w:val="0"/>
      <w:marRight w:val="0"/>
      <w:marTop w:val="0"/>
      <w:marBottom w:val="0"/>
      <w:divBdr>
        <w:top w:val="none" w:sz="0" w:space="0" w:color="auto"/>
        <w:left w:val="none" w:sz="0" w:space="0" w:color="auto"/>
        <w:bottom w:val="none" w:sz="0" w:space="0" w:color="auto"/>
        <w:right w:val="none" w:sz="0" w:space="0" w:color="auto"/>
      </w:divBdr>
      <w:divsChild>
        <w:div w:id="363753239">
          <w:marLeft w:val="0"/>
          <w:marRight w:val="0"/>
          <w:marTop w:val="0"/>
          <w:marBottom w:val="0"/>
          <w:divBdr>
            <w:top w:val="none" w:sz="0" w:space="0" w:color="auto"/>
            <w:left w:val="none" w:sz="0" w:space="0" w:color="auto"/>
            <w:bottom w:val="none" w:sz="0" w:space="0" w:color="auto"/>
            <w:right w:val="none" w:sz="0" w:space="0" w:color="auto"/>
          </w:divBdr>
        </w:div>
      </w:divsChild>
    </w:div>
    <w:div w:id="363753242">
      <w:marLeft w:val="0"/>
      <w:marRight w:val="0"/>
      <w:marTop w:val="0"/>
      <w:marBottom w:val="0"/>
      <w:divBdr>
        <w:top w:val="none" w:sz="0" w:space="0" w:color="auto"/>
        <w:left w:val="none" w:sz="0" w:space="0" w:color="auto"/>
        <w:bottom w:val="none" w:sz="0" w:space="0" w:color="auto"/>
        <w:right w:val="none" w:sz="0" w:space="0" w:color="auto"/>
      </w:divBdr>
      <w:divsChild>
        <w:div w:id="363753244">
          <w:marLeft w:val="0"/>
          <w:marRight w:val="0"/>
          <w:marTop w:val="0"/>
          <w:marBottom w:val="0"/>
          <w:divBdr>
            <w:top w:val="none" w:sz="0" w:space="0" w:color="auto"/>
            <w:left w:val="none" w:sz="0" w:space="0" w:color="auto"/>
            <w:bottom w:val="none" w:sz="0" w:space="0" w:color="auto"/>
            <w:right w:val="none" w:sz="0" w:space="0" w:color="auto"/>
          </w:divBdr>
        </w:div>
      </w:divsChild>
    </w:div>
    <w:div w:id="36375324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kovaleroval@mail.ru" TargetMode="External"/><Relationship Id="rId13" Type="http://schemas.openxmlformats.org/officeDocument/2006/relationships/image" Target="media/image5.jpeg"/><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joan.savinova@gmail.com" TargetMode="External"/><Relationship Id="rId12" Type="http://schemas.openxmlformats.org/officeDocument/2006/relationships/image" Target="media/image4.png"/><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jpeg"/><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image" Target="media/image2.jpeg"/><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1.jpeg"/><Relationship Id="rId14" Type="http://schemas.openxmlformats.org/officeDocument/2006/relationships/hyperlink" Target="http://raexpert.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1337</TotalTime>
  <Pages>13</Pages>
  <Words>3248</Words>
  <Characters>18518</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Ольга Салтыкова</dc:creator>
  <cp:keywords/>
  <dc:description/>
  <cp:lastModifiedBy>ACER</cp:lastModifiedBy>
  <cp:revision>24</cp:revision>
  <dcterms:created xsi:type="dcterms:W3CDTF">2017-03-04T18:25:00Z</dcterms:created>
  <dcterms:modified xsi:type="dcterms:W3CDTF">2017-03-20T14:57:00Z</dcterms:modified>
</cp:coreProperties>
</file>