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36"/>
        <w:gridCol w:w="4650"/>
      </w:tblGrid>
      <w:tr w:rsidR="00B0574C" w:rsidRPr="000C032B" w:rsidTr="00CA3666">
        <w:tc>
          <w:tcPr>
            <w:tcW w:w="4636" w:type="dxa"/>
          </w:tcPr>
          <w:p w:rsidR="00B0574C" w:rsidRDefault="00B0574C" w:rsidP="00CA3666">
            <w:pPr>
              <w:suppressAutoHyphens/>
              <w:rPr>
                <w:rFonts w:ascii="Times New Roman" w:hAnsi="Times New Roman"/>
                <w:sz w:val="20"/>
                <w:szCs w:val="20"/>
                <w:lang w:val="en-US"/>
              </w:rPr>
            </w:pPr>
            <w:r>
              <w:rPr>
                <w:rFonts w:ascii="Times New Roman" w:hAnsi="Times New Roman"/>
                <w:bCs/>
                <w:sz w:val="20"/>
                <w:szCs w:val="20"/>
              </w:rPr>
              <w:t xml:space="preserve">УДК </w:t>
            </w:r>
            <w:r w:rsidRPr="000C032B">
              <w:rPr>
                <w:rFonts w:ascii="Times New Roman" w:hAnsi="Times New Roman"/>
                <w:sz w:val="20"/>
                <w:szCs w:val="20"/>
              </w:rPr>
              <w:t>32.019.5</w:t>
            </w:r>
          </w:p>
          <w:p w:rsidR="00B0574C" w:rsidRPr="000C032B" w:rsidRDefault="00B0574C" w:rsidP="00CA3666">
            <w:pPr>
              <w:suppressAutoHyphens/>
              <w:rPr>
                <w:rFonts w:ascii="Times New Roman" w:hAnsi="Times New Roman"/>
                <w:sz w:val="20"/>
                <w:szCs w:val="20"/>
                <w:lang w:val="en-US" w:eastAsia="ru-RU"/>
              </w:rPr>
            </w:pPr>
          </w:p>
        </w:tc>
        <w:tc>
          <w:tcPr>
            <w:tcW w:w="4650" w:type="dxa"/>
          </w:tcPr>
          <w:p w:rsidR="00B0574C" w:rsidRPr="000C032B" w:rsidRDefault="00B0574C" w:rsidP="00CA3666">
            <w:pPr>
              <w:suppressAutoHyphens/>
              <w:rPr>
                <w:rFonts w:ascii="Times New Roman" w:hAnsi="Times New Roman"/>
                <w:sz w:val="20"/>
                <w:szCs w:val="20"/>
                <w:lang w:eastAsia="ru-RU"/>
              </w:rPr>
            </w:pPr>
            <w:r w:rsidRPr="000C032B">
              <w:rPr>
                <w:rFonts w:ascii="Times New Roman" w:hAnsi="Times New Roman"/>
                <w:sz w:val="20"/>
                <w:szCs w:val="20"/>
              </w:rPr>
              <w:t>UDC</w:t>
            </w:r>
            <w:r w:rsidRPr="000C032B">
              <w:rPr>
                <w:rFonts w:ascii="Times New Roman" w:hAnsi="Times New Roman"/>
                <w:bCs/>
                <w:sz w:val="20"/>
                <w:szCs w:val="20"/>
              </w:rPr>
              <w:t xml:space="preserve"> 32.019.5</w:t>
            </w:r>
          </w:p>
        </w:tc>
      </w:tr>
      <w:tr w:rsidR="00B0574C" w:rsidRPr="000C032B" w:rsidTr="00CA3666">
        <w:trPr>
          <w:trHeight w:val="348"/>
        </w:trPr>
        <w:tc>
          <w:tcPr>
            <w:tcW w:w="4636" w:type="dxa"/>
          </w:tcPr>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eastAsia="ru-RU"/>
              </w:rPr>
              <w:t>07.00.00 Исторические науки</w:t>
            </w:r>
          </w:p>
          <w:p w:rsidR="00B0574C" w:rsidRPr="000C032B" w:rsidRDefault="00B0574C" w:rsidP="00CA3666">
            <w:pPr>
              <w:rPr>
                <w:rFonts w:ascii="Times New Roman" w:hAnsi="Times New Roman"/>
                <w:sz w:val="20"/>
                <w:szCs w:val="20"/>
                <w:lang w:val="en-US" w:eastAsia="ru-RU"/>
              </w:rPr>
            </w:pPr>
          </w:p>
        </w:tc>
        <w:tc>
          <w:tcPr>
            <w:tcW w:w="4650" w:type="dxa"/>
          </w:tcPr>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rPr>
              <w:t xml:space="preserve"> Historical science</w:t>
            </w:r>
            <w:r>
              <w:rPr>
                <w:rFonts w:ascii="Times New Roman" w:hAnsi="Times New Roman"/>
                <w:sz w:val="20"/>
                <w:szCs w:val="20"/>
                <w:lang w:val="en-US"/>
              </w:rPr>
              <w:t>s</w:t>
            </w:r>
          </w:p>
        </w:tc>
      </w:tr>
      <w:tr w:rsidR="00B0574C" w:rsidRPr="000C032B" w:rsidTr="00CA3666">
        <w:tc>
          <w:tcPr>
            <w:tcW w:w="4636" w:type="dxa"/>
          </w:tcPr>
          <w:p w:rsidR="00B0574C" w:rsidRPr="000C032B" w:rsidRDefault="00B0574C" w:rsidP="00CA3666">
            <w:pPr>
              <w:rPr>
                <w:rFonts w:ascii="Times New Roman" w:hAnsi="Times New Roman"/>
                <w:b/>
                <w:sz w:val="20"/>
                <w:szCs w:val="20"/>
                <w:lang w:eastAsia="ru-RU"/>
              </w:rPr>
            </w:pPr>
            <w:r w:rsidRPr="000C032B">
              <w:rPr>
                <w:rFonts w:ascii="Times New Roman" w:hAnsi="Times New Roman"/>
                <w:b/>
                <w:sz w:val="20"/>
                <w:szCs w:val="20"/>
                <w:lang w:eastAsia="ru-RU"/>
              </w:rPr>
              <w:t>ОБЩЕСТВЕННО-ПОЛИТИЧЕСКИЕ ОРГАНИЗАЦИИ ДОНБАССА ПРОРУССКОЙ НАПРАВЛЕННОСТИ В КОНЦЕ ХХ – НАЧАЛЕ ХХ</w:t>
            </w:r>
            <w:r w:rsidRPr="000C032B">
              <w:rPr>
                <w:rFonts w:ascii="Times New Roman" w:hAnsi="Times New Roman"/>
                <w:b/>
                <w:sz w:val="20"/>
                <w:szCs w:val="20"/>
                <w:lang w:val="en-US" w:eastAsia="ru-RU"/>
              </w:rPr>
              <w:t>I</w:t>
            </w:r>
            <w:r w:rsidRPr="000C032B">
              <w:rPr>
                <w:rFonts w:ascii="Times New Roman" w:hAnsi="Times New Roman"/>
                <w:b/>
                <w:sz w:val="20"/>
                <w:szCs w:val="20"/>
                <w:lang w:eastAsia="ru-RU"/>
              </w:rPr>
              <w:t xml:space="preserve"> ВЕКА  </w:t>
            </w:r>
          </w:p>
          <w:p w:rsidR="00B0574C" w:rsidRPr="000C032B" w:rsidRDefault="00B0574C" w:rsidP="00CA3666">
            <w:pPr>
              <w:rPr>
                <w:rFonts w:ascii="Times New Roman" w:hAnsi="Times New Roman"/>
                <w:b/>
                <w:sz w:val="20"/>
                <w:szCs w:val="20"/>
                <w:lang w:eastAsia="ru-RU"/>
              </w:rPr>
            </w:pPr>
          </w:p>
        </w:tc>
        <w:tc>
          <w:tcPr>
            <w:tcW w:w="4650" w:type="dxa"/>
          </w:tcPr>
          <w:p w:rsidR="00B0574C" w:rsidRPr="000C032B" w:rsidRDefault="00B0574C" w:rsidP="00CA3666">
            <w:pPr>
              <w:rPr>
                <w:rFonts w:ascii="Times New Roman" w:hAnsi="Times New Roman"/>
                <w:b/>
                <w:sz w:val="20"/>
                <w:szCs w:val="20"/>
                <w:lang w:val="en-US" w:eastAsia="ru-RU"/>
              </w:rPr>
            </w:pPr>
            <w:r w:rsidRPr="000C032B">
              <w:rPr>
                <w:rFonts w:ascii="Times New Roman" w:hAnsi="Times New Roman"/>
                <w:b/>
                <w:sz w:val="20"/>
                <w:szCs w:val="20"/>
                <w:lang w:val="en-US" w:eastAsia="ru-RU"/>
              </w:rPr>
              <w:t xml:space="preserve">SOCIO-POLITICAL ORGANIZATIONS OF PRO-RUSSIAN ORIENTATION IN DONBASS </w:t>
            </w:r>
            <w:r>
              <w:rPr>
                <w:rFonts w:ascii="Times New Roman" w:hAnsi="Times New Roman"/>
                <w:b/>
                <w:sz w:val="20"/>
                <w:szCs w:val="20"/>
                <w:lang w:val="en-US" w:eastAsia="ru-RU"/>
              </w:rPr>
              <w:t xml:space="preserve">IN </w:t>
            </w:r>
            <w:r w:rsidRPr="000C032B">
              <w:rPr>
                <w:rFonts w:ascii="Times New Roman" w:hAnsi="Times New Roman"/>
                <w:b/>
                <w:sz w:val="20"/>
                <w:szCs w:val="20"/>
                <w:lang w:val="en-US" w:eastAsia="ru-RU"/>
              </w:rPr>
              <w:t>THE END OF XX – BEGINNING OF XXI CENTURY</w:t>
            </w:r>
          </w:p>
        </w:tc>
      </w:tr>
      <w:tr w:rsidR="00B0574C" w:rsidRPr="000C032B" w:rsidTr="000C032B">
        <w:trPr>
          <w:trHeight w:val="1160"/>
        </w:trPr>
        <w:tc>
          <w:tcPr>
            <w:tcW w:w="4636" w:type="dxa"/>
          </w:tcPr>
          <w:p w:rsidR="00B0574C" w:rsidRPr="00CA4CA0" w:rsidRDefault="00B0574C" w:rsidP="00CA3666">
            <w:pPr>
              <w:rPr>
                <w:rFonts w:ascii="Times New Roman" w:hAnsi="Times New Roman"/>
                <w:sz w:val="20"/>
                <w:szCs w:val="20"/>
                <w:lang w:val="en-US" w:eastAsia="ru-RU"/>
              </w:rPr>
            </w:pPr>
            <w:r>
              <w:rPr>
                <w:rFonts w:ascii="Times New Roman" w:hAnsi="Times New Roman"/>
                <w:sz w:val="20"/>
                <w:szCs w:val="20"/>
                <w:lang w:eastAsia="ru-RU"/>
              </w:rPr>
              <w:t>Бунтовский Сергей Юрьевич</w:t>
            </w:r>
          </w:p>
          <w:p w:rsidR="00B0574C" w:rsidRPr="000C032B" w:rsidRDefault="00B0574C" w:rsidP="00CA3666">
            <w:pPr>
              <w:rPr>
                <w:rFonts w:ascii="Times New Roman" w:hAnsi="Times New Roman"/>
                <w:sz w:val="20"/>
                <w:szCs w:val="20"/>
                <w:lang w:eastAsia="ru-RU"/>
              </w:rPr>
            </w:pPr>
            <w:r w:rsidRPr="000C032B">
              <w:rPr>
                <w:rFonts w:ascii="Times New Roman" w:hAnsi="Times New Roman"/>
                <w:sz w:val="20"/>
                <w:szCs w:val="20"/>
                <w:lang w:eastAsia="ru-RU"/>
              </w:rPr>
              <w:t xml:space="preserve"> кандидат экономических наук</w:t>
            </w:r>
          </w:p>
          <w:p w:rsidR="00B0574C" w:rsidRPr="000C032B" w:rsidRDefault="00B0574C" w:rsidP="00CA3666">
            <w:pPr>
              <w:rPr>
                <w:rFonts w:ascii="Times New Roman" w:hAnsi="Times New Roman"/>
                <w:sz w:val="20"/>
                <w:szCs w:val="20"/>
                <w:lang w:val="en-US" w:eastAsia="ru-RU"/>
              </w:rPr>
            </w:pPr>
            <w:r>
              <w:rPr>
                <w:rFonts w:ascii="Times New Roman" w:hAnsi="Times New Roman"/>
                <w:sz w:val="20"/>
                <w:szCs w:val="20"/>
                <w:lang w:eastAsia="ru-RU"/>
              </w:rPr>
              <w:t>РИНЦ</w:t>
            </w:r>
            <w:r w:rsidRPr="000C032B">
              <w:rPr>
                <w:rFonts w:ascii="Times New Roman" w:hAnsi="Times New Roman"/>
                <w:sz w:val="20"/>
                <w:szCs w:val="20"/>
                <w:lang w:val="en-US" w:eastAsia="ru-RU"/>
              </w:rPr>
              <w:t xml:space="preserve"> SPIN-</w:t>
            </w:r>
            <w:r w:rsidRPr="000C032B">
              <w:rPr>
                <w:rFonts w:ascii="Times New Roman" w:hAnsi="Times New Roman"/>
                <w:sz w:val="20"/>
                <w:szCs w:val="20"/>
                <w:lang w:eastAsia="ru-RU"/>
              </w:rPr>
              <w:t>код</w:t>
            </w:r>
            <w:r w:rsidRPr="000C032B">
              <w:rPr>
                <w:rFonts w:ascii="Times New Roman" w:hAnsi="Times New Roman"/>
                <w:sz w:val="20"/>
                <w:szCs w:val="20"/>
                <w:lang w:val="en-US" w:eastAsia="ru-RU"/>
              </w:rPr>
              <w:t xml:space="preserve"> 3115-8800</w:t>
            </w:r>
          </w:p>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rPr>
              <w:t>e</w:t>
            </w:r>
            <w:r>
              <w:rPr>
                <w:rFonts w:ascii="Times New Roman" w:hAnsi="Times New Roman"/>
                <w:sz w:val="20"/>
                <w:szCs w:val="20"/>
                <w:lang w:val="en-US"/>
              </w:rPr>
              <w:t xml:space="preserve">-mail: </w:t>
            </w:r>
            <w:r w:rsidRPr="000C032B">
              <w:rPr>
                <w:rFonts w:ascii="Times New Roman" w:hAnsi="Times New Roman"/>
                <w:sz w:val="20"/>
                <w:szCs w:val="20"/>
                <w:lang w:val="en-US"/>
              </w:rPr>
              <w:t>buntovskiy@rambler.ru</w:t>
            </w:r>
          </w:p>
        </w:tc>
        <w:tc>
          <w:tcPr>
            <w:tcW w:w="4650" w:type="dxa"/>
          </w:tcPr>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eastAsia="ru-RU"/>
              </w:rPr>
              <w:t>Buntovskiy Sergey</w:t>
            </w:r>
            <w:r>
              <w:rPr>
                <w:rFonts w:ascii="Times New Roman" w:hAnsi="Times New Roman"/>
                <w:sz w:val="20"/>
                <w:szCs w:val="20"/>
                <w:lang w:val="en-US" w:eastAsia="ru-RU"/>
              </w:rPr>
              <w:t xml:space="preserve"> Yurievich</w:t>
            </w:r>
          </w:p>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rPr>
              <w:t>Cand.Econ.Sci.</w:t>
            </w:r>
          </w:p>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rPr>
              <w:t>RSCI SPIN-code=</w:t>
            </w:r>
            <w:r w:rsidRPr="000C032B">
              <w:rPr>
                <w:rFonts w:ascii="Times New Roman" w:hAnsi="Times New Roman"/>
                <w:sz w:val="20"/>
                <w:szCs w:val="20"/>
                <w:lang w:val="en-US" w:eastAsia="ru-RU"/>
              </w:rPr>
              <w:t xml:space="preserve"> 3115-8800</w:t>
            </w:r>
          </w:p>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rPr>
              <w:t>e-mail:  buntovskiy@rambler.ru</w:t>
            </w:r>
          </w:p>
        </w:tc>
      </w:tr>
      <w:tr w:rsidR="00B0574C" w:rsidRPr="000C032B" w:rsidTr="00CA3666">
        <w:trPr>
          <w:trHeight w:val="1405"/>
        </w:trPr>
        <w:tc>
          <w:tcPr>
            <w:tcW w:w="4636" w:type="dxa"/>
          </w:tcPr>
          <w:p w:rsidR="00B0574C" w:rsidRPr="000C032B" w:rsidRDefault="00B0574C" w:rsidP="00CA3666">
            <w:pPr>
              <w:rPr>
                <w:rFonts w:ascii="Times New Roman" w:hAnsi="Times New Roman"/>
                <w:sz w:val="20"/>
                <w:szCs w:val="20"/>
                <w:lang w:eastAsia="ru-RU"/>
              </w:rPr>
            </w:pPr>
            <w:r w:rsidRPr="000C032B">
              <w:rPr>
                <w:rFonts w:ascii="Times New Roman" w:hAnsi="Times New Roman"/>
                <w:sz w:val="20"/>
                <w:szCs w:val="20"/>
                <w:lang w:eastAsia="ru-RU"/>
              </w:rPr>
              <w:t>Каримова Хеда Ильясовна</w:t>
            </w:r>
          </w:p>
          <w:p w:rsidR="00B0574C" w:rsidRPr="000C032B" w:rsidRDefault="00B0574C" w:rsidP="00CA3666">
            <w:pPr>
              <w:rPr>
                <w:rFonts w:ascii="Times New Roman" w:hAnsi="Times New Roman"/>
                <w:sz w:val="20"/>
                <w:szCs w:val="20"/>
                <w:lang w:eastAsia="ru-RU"/>
              </w:rPr>
            </w:pPr>
            <w:r w:rsidRPr="000C032B">
              <w:rPr>
                <w:rFonts w:ascii="Times New Roman" w:hAnsi="Times New Roman"/>
                <w:sz w:val="20"/>
                <w:szCs w:val="20"/>
                <w:lang w:eastAsia="ru-RU"/>
              </w:rPr>
              <w:t>студент</w:t>
            </w:r>
          </w:p>
          <w:p w:rsidR="00B0574C" w:rsidRDefault="00B0574C" w:rsidP="00CA3666">
            <w:pPr>
              <w:rPr>
                <w:rFonts w:ascii="Times New Roman" w:hAnsi="Times New Roman"/>
                <w:i/>
                <w:sz w:val="20"/>
                <w:szCs w:val="20"/>
                <w:lang w:val="en-US"/>
              </w:rPr>
            </w:pPr>
            <w:r w:rsidRPr="000C032B">
              <w:rPr>
                <w:rFonts w:ascii="Times New Roman" w:hAnsi="Times New Roman"/>
                <w:sz w:val="20"/>
                <w:szCs w:val="20"/>
                <w:lang w:val="en-US"/>
              </w:rPr>
              <w:t>e</w:t>
            </w:r>
            <w:r w:rsidRPr="000C032B">
              <w:rPr>
                <w:rFonts w:ascii="Times New Roman" w:hAnsi="Times New Roman"/>
                <w:sz w:val="20"/>
                <w:szCs w:val="20"/>
              </w:rPr>
              <w:t>-</w:t>
            </w:r>
            <w:r w:rsidRPr="000C032B">
              <w:rPr>
                <w:rFonts w:ascii="Times New Roman" w:hAnsi="Times New Roman"/>
                <w:sz w:val="20"/>
                <w:szCs w:val="20"/>
                <w:lang w:val="en-US"/>
              </w:rPr>
              <w:t>mail</w:t>
            </w:r>
            <w:r w:rsidRPr="000C032B">
              <w:rPr>
                <w:rFonts w:ascii="Times New Roman" w:hAnsi="Times New Roman"/>
                <w:sz w:val="20"/>
                <w:szCs w:val="20"/>
              </w:rPr>
              <w:t xml:space="preserve"> </w:t>
            </w:r>
            <w:r w:rsidRPr="000C032B">
              <w:rPr>
                <w:rFonts w:ascii="Times New Roman" w:hAnsi="Times New Roman"/>
                <w:sz w:val="20"/>
                <w:szCs w:val="20"/>
                <w:lang w:val="en-US"/>
              </w:rPr>
              <w:t>Hedikcemieva</w:t>
            </w:r>
            <w:r w:rsidRPr="000C032B">
              <w:rPr>
                <w:rFonts w:ascii="Times New Roman" w:hAnsi="Times New Roman"/>
                <w:sz w:val="20"/>
                <w:szCs w:val="20"/>
              </w:rPr>
              <w:t>@</w:t>
            </w:r>
            <w:r w:rsidRPr="000C032B">
              <w:rPr>
                <w:rFonts w:ascii="Times New Roman" w:hAnsi="Times New Roman"/>
                <w:sz w:val="20"/>
                <w:szCs w:val="20"/>
                <w:lang w:val="en-US"/>
              </w:rPr>
              <w:t>gmail</w:t>
            </w:r>
            <w:r w:rsidRPr="000C032B">
              <w:rPr>
                <w:rFonts w:ascii="Times New Roman" w:hAnsi="Times New Roman"/>
                <w:sz w:val="20"/>
                <w:szCs w:val="20"/>
              </w:rPr>
              <w:t>.</w:t>
            </w:r>
            <w:r w:rsidRPr="000C032B">
              <w:rPr>
                <w:rFonts w:ascii="Times New Roman" w:hAnsi="Times New Roman"/>
                <w:sz w:val="20"/>
                <w:szCs w:val="20"/>
                <w:lang w:val="en-US"/>
              </w:rPr>
              <w:t>com</w:t>
            </w:r>
            <w:r w:rsidRPr="000C032B">
              <w:rPr>
                <w:rFonts w:ascii="Times New Roman" w:hAnsi="Times New Roman"/>
                <w:i/>
                <w:sz w:val="20"/>
                <w:szCs w:val="20"/>
              </w:rPr>
              <w:t xml:space="preserve"> </w:t>
            </w:r>
          </w:p>
          <w:p w:rsidR="00B0574C" w:rsidRPr="000C032B" w:rsidRDefault="00B0574C" w:rsidP="00CA3666">
            <w:pPr>
              <w:rPr>
                <w:rFonts w:ascii="Times New Roman" w:hAnsi="Times New Roman"/>
                <w:i/>
                <w:sz w:val="20"/>
                <w:szCs w:val="20"/>
                <w:lang w:eastAsia="ru-RU"/>
              </w:rPr>
            </w:pPr>
            <w:r w:rsidRPr="000C032B">
              <w:rPr>
                <w:rFonts w:ascii="Times New Roman" w:hAnsi="Times New Roman"/>
                <w:i/>
                <w:sz w:val="20"/>
                <w:szCs w:val="20"/>
              </w:rPr>
              <w:t>Кубанский государственный аграрный университет, Краснодар, Россия</w:t>
            </w:r>
          </w:p>
          <w:p w:rsidR="00B0574C" w:rsidRPr="000C032B" w:rsidRDefault="00B0574C" w:rsidP="00CA3666">
            <w:pPr>
              <w:rPr>
                <w:rFonts w:ascii="Times New Roman" w:hAnsi="Times New Roman"/>
                <w:sz w:val="20"/>
                <w:szCs w:val="20"/>
                <w:lang w:eastAsia="ru-RU"/>
              </w:rPr>
            </w:pPr>
          </w:p>
        </w:tc>
        <w:tc>
          <w:tcPr>
            <w:tcW w:w="4650" w:type="dxa"/>
          </w:tcPr>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rPr>
              <w:t>Karimova Kheda</w:t>
            </w:r>
            <w:r>
              <w:rPr>
                <w:rFonts w:ascii="Times New Roman" w:hAnsi="Times New Roman"/>
                <w:sz w:val="20"/>
                <w:szCs w:val="20"/>
                <w:lang w:val="en-US"/>
              </w:rPr>
              <w:t xml:space="preserve"> Iliasovna</w:t>
            </w:r>
          </w:p>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rPr>
              <w:t>student</w:t>
            </w:r>
          </w:p>
          <w:p w:rsidR="00B0574C" w:rsidRDefault="00B0574C" w:rsidP="000C032B">
            <w:pPr>
              <w:rPr>
                <w:rFonts w:ascii="Times New Roman" w:hAnsi="Times New Roman"/>
                <w:sz w:val="20"/>
                <w:szCs w:val="20"/>
                <w:lang w:val="en-US"/>
              </w:rPr>
            </w:pPr>
            <w:r w:rsidRPr="000C032B">
              <w:rPr>
                <w:rFonts w:ascii="Times New Roman" w:hAnsi="Times New Roman"/>
                <w:sz w:val="20"/>
                <w:szCs w:val="20"/>
                <w:lang w:val="en-US"/>
              </w:rPr>
              <w:t xml:space="preserve">e-mail Hedikcemieva@gmail.com </w:t>
            </w:r>
          </w:p>
          <w:p w:rsidR="00B0574C" w:rsidRPr="000C032B" w:rsidRDefault="00B0574C" w:rsidP="000C032B">
            <w:pPr>
              <w:rPr>
                <w:rFonts w:ascii="Times New Roman" w:hAnsi="Times New Roman"/>
                <w:i/>
                <w:sz w:val="20"/>
                <w:szCs w:val="20"/>
                <w:lang w:val="en-US"/>
              </w:rPr>
            </w:pPr>
            <w:smartTag w:uri="urn:schemas-microsoft-com:office:smarttags" w:element="place">
              <w:smartTag w:uri="urn:schemas-microsoft-com:office:smarttags" w:element="PlaceName">
                <w:r w:rsidRPr="000C032B">
                  <w:rPr>
                    <w:rFonts w:ascii="Times New Roman" w:hAnsi="Times New Roman"/>
                    <w:i/>
                    <w:sz w:val="20"/>
                    <w:szCs w:val="20"/>
                    <w:lang w:val="en-US"/>
                  </w:rPr>
                  <w:t>Kuban</w:t>
                </w:r>
              </w:smartTag>
              <w:r w:rsidRPr="000C032B">
                <w:rPr>
                  <w:rFonts w:ascii="Times New Roman" w:hAnsi="Times New Roman"/>
                  <w:i/>
                  <w:sz w:val="20"/>
                  <w:szCs w:val="20"/>
                  <w:lang w:val="en-US"/>
                </w:rPr>
                <w:t xml:space="preserve"> </w:t>
              </w:r>
              <w:smartTag w:uri="urn:schemas-microsoft-com:office:smarttags" w:element="PlaceType">
                <w:r w:rsidRPr="000C032B">
                  <w:rPr>
                    <w:rFonts w:ascii="Times New Roman" w:hAnsi="Times New Roman"/>
                    <w:i/>
                    <w:sz w:val="20"/>
                    <w:szCs w:val="20"/>
                    <w:lang w:val="en-US"/>
                  </w:rPr>
                  <w:t>State</w:t>
                </w:r>
              </w:smartTag>
              <w:r w:rsidRPr="000C032B">
                <w:rPr>
                  <w:rFonts w:ascii="Times New Roman" w:hAnsi="Times New Roman"/>
                  <w:i/>
                  <w:sz w:val="20"/>
                  <w:szCs w:val="20"/>
                  <w:lang w:val="en-US"/>
                </w:rPr>
                <w:t xml:space="preserve"> </w:t>
              </w:r>
              <w:smartTag w:uri="urn:schemas-microsoft-com:office:smarttags" w:element="PlaceName">
                <w:r w:rsidRPr="000C032B">
                  <w:rPr>
                    <w:rFonts w:ascii="Times New Roman" w:hAnsi="Times New Roman"/>
                    <w:i/>
                    <w:sz w:val="20"/>
                    <w:szCs w:val="20"/>
                    <w:lang w:val="en-US"/>
                  </w:rPr>
                  <w:t>Agrarian</w:t>
                </w:r>
              </w:smartTag>
              <w:r w:rsidRPr="000C032B">
                <w:rPr>
                  <w:rFonts w:ascii="Times New Roman" w:hAnsi="Times New Roman"/>
                  <w:i/>
                  <w:sz w:val="20"/>
                  <w:szCs w:val="20"/>
                  <w:lang w:val="en-US"/>
                </w:rPr>
                <w:t xml:space="preserve"> </w:t>
              </w:r>
              <w:smartTag w:uri="urn:schemas-microsoft-com:office:smarttags" w:element="PlaceType">
                <w:r w:rsidRPr="000C032B">
                  <w:rPr>
                    <w:rFonts w:ascii="Times New Roman" w:hAnsi="Times New Roman"/>
                    <w:i/>
                    <w:sz w:val="20"/>
                    <w:szCs w:val="20"/>
                    <w:lang w:val="en-US"/>
                  </w:rPr>
                  <w:t>University</w:t>
                </w:r>
              </w:smartTag>
            </w:smartTag>
            <w:r w:rsidRPr="000C032B">
              <w:rPr>
                <w:rFonts w:ascii="Times New Roman" w:hAnsi="Times New Roman"/>
                <w:i/>
                <w:sz w:val="20"/>
                <w:szCs w:val="20"/>
                <w:lang w:val="en-US"/>
              </w:rPr>
              <w:t xml:space="preserve">, </w:t>
            </w:r>
          </w:p>
          <w:p w:rsidR="00B0574C" w:rsidRPr="000C032B" w:rsidRDefault="00B0574C" w:rsidP="000C032B">
            <w:pPr>
              <w:rPr>
                <w:rFonts w:ascii="Times New Roman" w:hAnsi="Times New Roman"/>
                <w:i/>
                <w:sz w:val="20"/>
                <w:szCs w:val="20"/>
                <w:lang w:val="en-US" w:eastAsia="ru-RU"/>
              </w:rPr>
            </w:pPr>
            <w:smartTag w:uri="urn:schemas-microsoft-com:office:smarttags" w:element="place">
              <w:smartTag w:uri="urn:schemas-microsoft-com:office:smarttags" w:element="City">
                <w:r w:rsidRPr="000C032B">
                  <w:rPr>
                    <w:rFonts w:ascii="Times New Roman" w:hAnsi="Times New Roman"/>
                    <w:i/>
                    <w:sz w:val="20"/>
                    <w:szCs w:val="20"/>
                    <w:lang w:val="en-US"/>
                  </w:rPr>
                  <w:t>Krasnodar</w:t>
                </w:r>
              </w:smartTag>
              <w:r w:rsidRPr="000C032B">
                <w:rPr>
                  <w:rFonts w:ascii="Times New Roman" w:hAnsi="Times New Roman"/>
                  <w:i/>
                  <w:sz w:val="20"/>
                  <w:szCs w:val="20"/>
                  <w:lang w:val="en-US"/>
                </w:rPr>
                <w:t xml:space="preserve">, </w:t>
              </w:r>
              <w:smartTag w:uri="urn:schemas-microsoft-com:office:smarttags" w:element="country-region">
                <w:r w:rsidRPr="000C032B">
                  <w:rPr>
                    <w:rFonts w:ascii="Times New Roman" w:hAnsi="Times New Roman"/>
                    <w:i/>
                    <w:sz w:val="20"/>
                    <w:szCs w:val="20"/>
                    <w:lang w:val="en-US"/>
                  </w:rPr>
                  <w:t>Russia</w:t>
                </w:r>
              </w:smartTag>
            </w:smartTag>
          </w:p>
          <w:p w:rsidR="00B0574C" w:rsidRPr="000C032B" w:rsidRDefault="00B0574C" w:rsidP="00CA3666">
            <w:pPr>
              <w:rPr>
                <w:rFonts w:ascii="Times New Roman" w:hAnsi="Times New Roman"/>
                <w:sz w:val="20"/>
                <w:szCs w:val="20"/>
                <w:lang w:val="en-US" w:eastAsia="ru-RU"/>
              </w:rPr>
            </w:pPr>
          </w:p>
        </w:tc>
      </w:tr>
      <w:tr w:rsidR="00B0574C" w:rsidRPr="000C032B" w:rsidTr="00CA3666">
        <w:tc>
          <w:tcPr>
            <w:tcW w:w="4636" w:type="dxa"/>
          </w:tcPr>
          <w:p w:rsidR="00B0574C" w:rsidRPr="000C032B" w:rsidRDefault="00B0574C" w:rsidP="00CA3666">
            <w:pPr>
              <w:pStyle w:val="ListParagraph"/>
              <w:tabs>
                <w:tab w:val="left" w:pos="0"/>
              </w:tabs>
              <w:ind w:left="0"/>
              <w:rPr>
                <w:sz w:val="20"/>
                <w:szCs w:val="20"/>
              </w:rPr>
            </w:pPr>
            <w:r w:rsidRPr="000C032B">
              <w:rPr>
                <w:sz w:val="20"/>
                <w:szCs w:val="20"/>
              </w:rPr>
              <w:t>В статье исследована деятельность общественно-политических организаций Донецкой области, отстаивавших идеи федерализации Украины и интеграции с Российской Федерацией. Дан обзор подобных организаций, действовавших в регионе с начала 1990-х годов по 2014 год. На основе исследования деятельности этих организаций авторы приходят к выводу о закономерности  раскола Украины в 2014 году, однако считают, что отделение Донбасса было вызвано не только деятельностью сепаратистских организаций, но в первую очер</w:t>
            </w:r>
            <w:r>
              <w:rPr>
                <w:sz w:val="20"/>
                <w:szCs w:val="20"/>
              </w:rPr>
              <w:t>едь политикой украинской власти</w:t>
            </w:r>
          </w:p>
          <w:p w:rsidR="00B0574C" w:rsidRPr="000C032B" w:rsidRDefault="00B0574C" w:rsidP="00CA3666">
            <w:pPr>
              <w:pStyle w:val="ListParagraph"/>
              <w:tabs>
                <w:tab w:val="left" w:pos="0"/>
              </w:tabs>
              <w:ind w:left="0"/>
              <w:rPr>
                <w:sz w:val="20"/>
                <w:szCs w:val="20"/>
              </w:rPr>
            </w:pPr>
          </w:p>
        </w:tc>
        <w:tc>
          <w:tcPr>
            <w:tcW w:w="4650" w:type="dxa"/>
          </w:tcPr>
          <w:p w:rsidR="00B0574C" w:rsidRPr="000C032B" w:rsidRDefault="00B0574C" w:rsidP="00CA3666">
            <w:pPr>
              <w:rPr>
                <w:rFonts w:ascii="Times New Roman" w:hAnsi="Times New Roman"/>
                <w:sz w:val="20"/>
                <w:szCs w:val="20"/>
                <w:lang w:val="en-US" w:eastAsia="ru-RU"/>
              </w:rPr>
            </w:pPr>
            <w:r w:rsidRPr="000C032B">
              <w:rPr>
                <w:rFonts w:ascii="Times New Roman" w:hAnsi="Times New Roman"/>
                <w:sz w:val="20"/>
                <w:szCs w:val="20"/>
                <w:lang w:val="en-US" w:eastAsia="ru-RU"/>
              </w:rPr>
              <w:t xml:space="preserve">The article investigates the activities of public-political organizations of the </w:t>
            </w:r>
            <w:smartTag w:uri="urn:schemas-microsoft-com:office:smarttags" w:element="City">
              <w:r w:rsidRPr="000C032B">
                <w:rPr>
                  <w:rFonts w:ascii="Times New Roman" w:hAnsi="Times New Roman"/>
                  <w:sz w:val="20"/>
                  <w:szCs w:val="20"/>
                  <w:lang w:val="en-US" w:eastAsia="ru-RU"/>
                </w:rPr>
                <w:t>Donetsk</w:t>
              </w:r>
            </w:smartTag>
            <w:r w:rsidRPr="000C032B">
              <w:rPr>
                <w:rFonts w:ascii="Times New Roman" w:hAnsi="Times New Roman"/>
                <w:sz w:val="20"/>
                <w:szCs w:val="20"/>
                <w:lang w:val="en-US" w:eastAsia="ru-RU"/>
              </w:rPr>
              <w:t xml:space="preserve"> region, defended the idea of federalization of </w:t>
            </w:r>
            <w:smartTag w:uri="urn:schemas-microsoft-com:office:smarttags" w:element="country-region">
              <w:r w:rsidRPr="000C032B">
                <w:rPr>
                  <w:rFonts w:ascii="Times New Roman" w:hAnsi="Times New Roman"/>
                  <w:sz w:val="20"/>
                  <w:szCs w:val="20"/>
                  <w:lang w:val="en-US" w:eastAsia="ru-RU"/>
                </w:rPr>
                <w:t>Ukraine</w:t>
              </w:r>
            </w:smartTag>
            <w:r w:rsidRPr="000C032B">
              <w:rPr>
                <w:rFonts w:ascii="Times New Roman" w:hAnsi="Times New Roman"/>
                <w:sz w:val="20"/>
                <w:szCs w:val="20"/>
                <w:lang w:val="en-US" w:eastAsia="ru-RU"/>
              </w:rPr>
              <w:t xml:space="preserve"> and integration with </w:t>
            </w:r>
            <w:smartTag w:uri="urn:schemas-microsoft-com:office:smarttags" w:element="place">
              <w:smartTag w:uri="urn:schemas-microsoft-com:office:smarttags" w:element="country-region">
                <w:r w:rsidRPr="000C032B">
                  <w:rPr>
                    <w:rFonts w:ascii="Times New Roman" w:hAnsi="Times New Roman"/>
                    <w:sz w:val="20"/>
                    <w:szCs w:val="20"/>
                    <w:lang w:val="en-US" w:eastAsia="ru-RU"/>
                  </w:rPr>
                  <w:t>Russia</w:t>
                </w:r>
              </w:smartTag>
            </w:smartTag>
            <w:r w:rsidRPr="000C032B">
              <w:rPr>
                <w:rFonts w:ascii="Times New Roman" w:hAnsi="Times New Roman"/>
                <w:sz w:val="20"/>
                <w:szCs w:val="20"/>
                <w:lang w:val="en-US" w:eastAsia="ru-RU"/>
              </w:rPr>
              <w:t xml:space="preserve">. A review </w:t>
            </w:r>
            <w:r>
              <w:rPr>
                <w:rFonts w:ascii="Times New Roman" w:hAnsi="Times New Roman"/>
                <w:sz w:val="20"/>
                <w:szCs w:val="20"/>
                <w:lang w:val="en-US" w:eastAsia="ru-RU"/>
              </w:rPr>
              <w:t>was done for</w:t>
            </w:r>
            <w:r w:rsidRPr="000C032B">
              <w:rPr>
                <w:rFonts w:ascii="Times New Roman" w:hAnsi="Times New Roman"/>
                <w:sz w:val="20"/>
                <w:szCs w:val="20"/>
                <w:lang w:val="en-US" w:eastAsia="ru-RU"/>
              </w:rPr>
              <w:t xml:space="preserve"> similar organizations operating in the region since the early 1990-ies to 2014. Based on the research activities of these organizations, the authors come to the conclusion about the regularity of the split of Ukraine in 2014, however, </w:t>
            </w:r>
            <w:r>
              <w:rPr>
                <w:rFonts w:ascii="Times New Roman" w:hAnsi="Times New Roman"/>
                <w:sz w:val="20"/>
                <w:szCs w:val="20"/>
                <w:lang w:val="en-US" w:eastAsia="ru-RU"/>
              </w:rPr>
              <w:t xml:space="preserve">they </w:t>
            </w:r>
            <w:r w:rsidRPr="000C032B">
              <w:rPr>
                <w:rFonts w:ascii="Times New Roman" w:hAnsi="Times New Roman"/>
                <w:sz w:val="20"/>
                <w:szCs w:val="20"/>
                <w:lang w:val="en-US" w:eastAsia="ru-RU"/>
              </w:rPr>
              <w:t xml:space="preserve">believe that the separation of Donbass was not only due to the activities of separatist organizations, but first and foremost, </w:t>
            </w:r>
            <w:r>
              <w:rPr>
                <w:rFonts w:ascii="Times New Roman" w:hAnsi="Times New Roman"/>
                <w:sz w:val="20"/>
                <w:szCs w:val="20"/>
                <w:lang w:val="en-US" w:eastAsia="ru-RU"/>
              </w:rPr>
              <w:t xml:space="preserve">because of the </w:t>
            </w:r>
            <w:r w:rsidRPr="000C032B">
              <w:rPr>
                <w:rFonts w:ascii="Times New Roman" w:hAnsi="Times New Roman"/>
                <w:sz w:val="20"/>
                <w:szCs w:val="20"/>
                <w:lang w:val="en-US" w:eastAsia="ru-RU"/>
              </w:rPr>
              <w:t>policy of the Ukrainian government</w:t>
            </w:r>
          </w:p>
        </w:tc>
      </w:tr>
      <w:tr w:rsidR="00B0574C" w:rsidRPr="000C032B" w:rsidTr="00CA3666">
        <w:tc>
          <w:tcPr>
            <w:tcW w:w="4636" w:type="dxa"/>
          </w:tcPr>
          <w:p w:rsidR="00B0574C" w:rsidRPr="000C032B" w:rsidRDefault="00B0574C" w:rsidP="00CA3666">
            <w:pPr>
              <w:pStyle w:val="ListParagraph"/>
              <w:tabs>
                <w:tab w:val="left" w:pos="0"/>
              </w:tabs>
              <w:ind w:left="0"/>
              <w:rPr>
                <w:sz w:val="20"/>
                <w:szCs w:val="20"/>
              </w:rPr>
            </w:pPr>
            <w:r w:rsidRPr="000C032B">
              <w:rPr>
                <w:iCs/>
                <w:sz w:val="20"/>
                <w:szCs w:val="20"/>
              </w:rPr>
              <w:t>Ключевые слова:</w:t>
            </w:r>
            <w:r w:rsidRPr="000C032B">
              <w:rPr>
                <w:sz w:val="20"/>
                <w:szCs w:val="20"/>
              </w:rPr>
              <w:t xml:space="preserve"> ДОНБАСС, УКРАИНА, СЕПАРАТИЗМ</w:t>
            </w:r>
          </w:p>
          <w:p w:rsidR="00B0574C" w:rsidRPr="000C032B" w:rsidRDefault="00B0574C" w:rsidP="00CA3666">
            <w:pPr>
              <w:pStyle w:val="ListParagraph"/>
              <w:tabs>
                <w:tab w:val="left" w:pos="0"/>
              </w:tabs>
              <w:ind w:left="0"/>
              <w:rPr>
                <w:sz w:val="20"/>
                <w:szCs w:val="20"/>
              </w:rPr>
            </w:pPr>
          </w:p>
          <w:p w:rsidR="00B0574C" w:rsidRPr="00CA4CA0" w:rsidRDefault="00B0574C" w:rsidP="00BD73C2">
            <w:pPr>
              <w:pStyle w:val="ListParagraph"/>
              <w:tabs>
                <w:tab w:val="left" w:pos="0"/>
              </w:tabs>
              <w:ind w:left="0"/>
              <w:rPr>
                <w:rFonts w:ascii="Arial" w:hAnsi="Arial" w:cs="Arial"/>
                <w:sz w:val="20"/>
                <w:szCs w:val="20"/>
              </w:rPr>
            </w:pPr>
            <w:r w:rsidRPr="00CA4CA0">
              <w:rPr>
                <w:rFonts w:ascii="Arial" w:hAnsi="Arial" w:cs="Arial"/>
                <w:b/>
                <w:sz w:val="20"/>
                <w:szCs w:val="20"/>
              </w:rPr>
              <w:t>10.21515/1990-4665-124-031</w:t>
            </w:r>
          </w:p>
        </w:tc>
        <w:tc>
          <w:tcPr>
            <w:tcW w:w="4650" w:type="dxa"/>
          </w:tcPr>
          <w:p w:rsidR="00B0574C" w:rsidRPr="000C032B" w:rsidRDefault="00B0574C" w:rsidP="00CA3666">
            <w:pPr>
              <w:rPr>
                <w:rFonts w:ascii="Times New Roman" w:hAnsi="Times New Roman"/>
                <w:sz w:val="20"/>
                <w:szCs w:val="20"/>
                <w:lang w:val="en-US" w:eastAsia="ru-RU"/>
              </w:rPr>
            </w:pPr>
            <w:r>
              <w:rPr>
                <w:rFonts w:ascii="Times New Roman" w:hAnsi="Times New Roman"/>
                <w:sz w:val="20"/>
                <w:szCs w:val="20"/>
                <w:lang w:val="en-US"/>
              </w:rPr>
              <w:t xml:space="preserve">Keywords: </w:t>
            </w:r>
            <w:smartTag w:uri="urn:schemas-microsoft-com:office:smarttags" w:element="City">
              <w:smartTag w:uri="urn:schemas-microsoft-com:office:smarttags" w:element="place">
                <w:r w:rsidRPr="000C032B">
                  <w:rPr>
                    <w:rFonts w:ascii="Times New Roman" w:hAnsi="Times New Roman"/>
                    <w:sz w:val="20"/>
                    <w:szCs w:val="20"/>
                  </w:rPr>
                  <w:t>DONBASS</w:t>
                </w:r>
              </w:smartTag>
              <w:r w:rsidRPr="000C032B">
                <w:rPr>
                  <w:rFonts w:ascii="Times New Roman" w:hAnsi="Times New Roman"/>
                  <w:sz w:val="20"/>
                  <w:szCs w:val="20"/>
                </w:rPr>
                <w:t xml:space="preserve">, </w:t>
              </w:r>
              <w:smartTag w:uri="urn:schemas-microsoft-com:office:smarttags" w:element="metricconverter">
                <w:smartTagPr>
                  <w:attr w:name="ProductID" w:val="1991 г"/>
                </w:smartTagPr>
                <w:r w:rsidRPr="000C032B">
                  <w:rPr>
                    <w:rFonts w:ascii="Times New Roman" w:hAnsi="Times New Roman"/>
                    <w:sz w:val="20"/>
                    <w:szCs w:val="20"/>
                  </w:rPr>
                  <w:t>UKRAINE</w:t>
                </w:r>
              </w:smartTag>
            </w:smartTag>
            <w:r w:rsidRPr="000C032B">
              <w:rPr>
                <w:rFonts w:ascii="Times New Roman" w:hAnsi="Times New Roman"/>
                <w:sz w:val="20"/>
                <w:szCs w:val="20"/>
              </w:rPr>
              <w:t>, SEPARATISM</w:t>
            </w:r>
          </w:p>
        </w:tc>
      </w:tr>
    </w:tbl>
    <w:p w:rsidR="00B0574C" w:rsidRPr="00E8076F" w:rsidRDefault="00B0574C" w:rsidP="006201EC">
      <w:pPr>
        <w:spacing w:line="360" w:lineRule="auto"/>
        <w:ind w:firstLine="567"/>
        <w:jc w:val="both"/>
        <w:rPr>
          <w:rFonts w:ascii="Times New Roman" w:hAnsi="Times New Roman"/>
          <w:sz w:val="28"/>
          <w:szCs w:val="28"/>
          <w:lang w:val="en-US"/>
        </w:rPr>
      </w:pP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Массовые выступления прорусского населения в юго-восточных регионах Украины, начавшиеся в марте 2014 года и приведшие к возвращению в состав Российской Федерации Крыма и возникновению Донецкой и Луганской Народных республик, как для широкой публики, так и для многих экспертов оказались неожиданными, поскольку ранее такая позиция региона (за исключением Крыма) практически не артикулировалась.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Вместе с тем необходимо отметить, что начиная с 1991 года, как на полуострове, так и в Донбассе, существовали общественные и политические  организации, деятельность которых была направлена на противодействие распространению украинского национализма и сохранение единства с Россией. </w:t>
      </w:r>
    </w:p>
    <w:p w:rsidR="00B0574C" w:rsidRPr="000B6C64" w:rsidRDefault="00B0574C" w:rsidP="000B6C64">
      <w:pPr>
        <w:spacing w:line="360" w:lineRule="auto"/>
        <w:ind w:firstLine="709"/>
        <w:jc w:val="both"/>
        <w:rPr>
          <w:rFonts w:ascii="Times New Roman" w:hAnsi="Times New Roman"/>
          <w:sz w:val="28"/>
          <w:szCs w:val="28"/>
        </w:rPr>
      </w:pPr>
      <w:r>
        <w:rPr>
          <w:rFonts w:ascii="Times New Roman" w:hAnsi="Times New Roman"/>
          <w:sz w:val="28"/>
          <w:szCs w:val="28"/>
        </w:rPr>
        <w:t>Цель</w:t>
      </w:r>
      <w:r w:rsidRPr="000B6C64">
        <w:rPr>
          <w:rFonts w:ascii="Times New Roman" w:hAnsi="Times New Roman"/>
          <w:sz w:val="28"/>
          <w:szCs w:val="28"/>
        </w:rPr>
        <w:t xml:space="preserve"> данной статьи </w:t>
      </w:r>
      <w:r>
        <w:rPr>
          <w:rFonts w:ascii="Times New Roman" w:hAnsi="Times New Roman"/>
          <w:sz w:val="28"/>
          <w:szCs w:val="28"/>
        </w:rPr>
        <w:t>-</w:t>
      </w:r>
      <w:r w:rsidRPr="000B6C64">
        <w:rPr>
          <w:rFonts w:ascii="Times New Roman" w:hAnsi="Times New Roman"/>
          <w:sz w:val="28"/>
          <w:szCs w:val="28"/>
        </w:rPr>
        <w:t xml:space="preserve"> дать ретроспективный обзор прорусских организаций Донецкой области, работа которых создала идеологический фундамент для последующего объявления независимости Донбасса от Киева.</w:t>
      </w:r>
    </w:p>
    <w:p w:rsidR="00B0574C" w:rsidRPr="000B6C64" w:rsidRDefault="00B0574C" w:rsidP="000B6C64">
      <w:pPr>
        <w:spacing w:line="360" w:lineRule="auto"/>
        <w:ind w:firstLine="709"/>
        <w:jc w:val="both"/>
        <w:rPr>
          <w:rFonts w:ascii="Times New Roman" w:hAnsi="Times New Roman"/>
          <w:sz w:val="28"/>
          <w:szCs w:val="28"/>
        </w:rPr>
      </w:pPr>
      <w:r>
        <w:rPr>
          <w:rFonts w:ascii="Times New Roman" w:hAnsi="Times New Roman"/>
          <w:sz w:val="28"/>
          <w:szCs w:val="28"/>
        </w:rPr>
        <w:t>Прежде всего,</w:t>
      </w:r>
      <w:r w:rsidRPr="000B6C64">
        <w:rPr>
          <w:rFonts w:ascii="Times New Roman" w:hAnsi="Times New Roman"/>
          <w:sz w:val="28"/>
          <w:szCs w:val="28"/>
        </w:rPr>
        <w:t xml:space="preserve"> следует особо оговорить, что до событий Евромайдана большинство сторонников «русского мира» и дистанцирования Донецка от Украины пропагандировали идеи превращения страны в федерацию, где Донбасс имел бы возможность самостоятельно определять свою гуманитарную и экономическую политику, сохранить русскую культуру, связи с Российской Федерацией и </w:t>
      </w:r>
      <w:bookmarkStart w:id="0" w:name="_GoBack"/>
      <w:bookmarkEnd w:id="0"/>
      <w:r w:rsidRPr="000B6C64">
        <w:rPr>
          <w:rFonts w:ascii="Times New Roman" w:hAnsi="Times New Roman"/>
          <w:sz w:val="28"/>
          <w:szCs w:val="28"/>
        </w:rPr>
        <w:t>избежать переписывания истории.</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 Идея полной независимости региона от Киева была озвучена и получила популярность в обществе  только весной 2014 года, после начала прокиевскими силовыми структурами так называемой «Антитеррористической операции». Это может свидетельствовать о низкой общественной поддержке идеи сепаратизма в Донбассе в 1991-2013 гг., хотя следует иметь ввиду, что пропаганда чистого сепаратизма или перехода в состав России в то время была невозможна, так как являлась уголовным преступлением. Поэтому </w:t>
      </w:r>
      <w:r>
        <w:rPr>
          <w:rFonts w:ascii="Times New Roman" w:hAnsi="Times New Roman"/>
          <w:sz w:val="28"/>
          <w:szCs w:val="28"/>
        </w:rPr>
        <w:t xml:space="preserve">зачастую </w:t>
      </w:r>
      <w:r w:rsidRPr="000B6C64">
        <w:rPr>
          <w:rFonts w:ascii="Times New Roman" w:hAnsi="Times New Roman"/>
          <w:sz w:val="28"/>
          <w:szCs w:val="28"/>
        </w:rPr>
        <w:t xml:space="preserve">подразумевалось, что федерализация это лишь первый шаг перед повторением на Украине Чехословацкого сценария.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С другой стороны, сторонниками сохранения Украины как единого государства</w:t>
      </w:r>
      <w:r>
        <w:rPr>
          <w:rFonts w:ascii="Times New Roman" w:hAnsi="Times New Roman"/>
          <w:sz w:val="28"/>
          <w:szCs w:val="28"/>
        </w:rPr>
        <w:t>,</w:t>
      </w:r>
      <w:r w:rsidRPr="000B6C64">
        <w:rPr>
          <w:rFonts w:ascii="Times New Roman" w:hAnsi="Times New Roman"/>
          <w:sz w:val="28"/>
          <w:szCs w:val="28"/>
        </w:rPr>
        <w:t xml:space="preserve"> федерализация и перераспределение бюджетных потоков в пользу регионов-доноров, которым являлся Донбасс, рассматривалось как способ купировать украинский национализм и снизить уровень неприятия  между западными (проукраинскими) и юго-восточными (прорусскими) регионами.</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Также следует отметить, что необходимость трансформации Украины от унитарного к федеративному типу государственного устройства была отмечена еще во времена СССР рядом западноукраинских общественных деятелей, а созданную депутатами Львовского, Тернопольского и Ивано-Франковского областных советов в 1991 году Галицкую Ассамблею вполне можно рассматривать как инструмент для объединения этих областей  в единый регион с последующим его выделением из состава УССР.</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Однако после обретения независимости, </w:t>
      </w:r>
      <w:r>
        <w:rPr>
          <w:rFonts w:ascii="Times New Roman" w:hAnsi="Times New Roman"/>
          <w:sz w:val="28"/>
          <w:szCs w:val="28"/>
        </w:rPr>
        <w:t xml:space="preserve">официальным </w:t>
      </w:r>
      <w:r w:rsidRPr="000B6C64">
        <w:rPr>
          <w:rFonts w:ascii="Times New Roman" w:hAnsi="Times New Roman"/>
          <w:sz w:val="28"/>
          <w:szCs w:val="28"/>
        </w:rPr>
        <w:t xml:space="preserve">Киевом </w:t>
      </w:r>
      <w:r>
        <w:rPr>
          <w:rFonts w:ascii="Times New Roman" w:hAnsi="Times New Roman"/>
          <w:sz w:val="28"/>
          <w:szCs w:val="28"/>
        </w:rPr>
        <w:t xml:space="preserve">стала проводиться </w:t>
      </w:r>
      <w:r w:rsidRPr="000B6C64">
        <w:rPr>
          <w:rFonts w:ascii="Times New Roman" w:hAnsi="Times New Roman"/>
          <w:sz w:val="28"/>
          <w:szCs w:val="28"/>
        </w:rPr>
        <w:t>политика жесткой централизации и унификации всех регионов страны. При этом унификация на практике вылилась в украинизацию областей с неукраинским этническим составом. Начиная с этого времени</w:t>
      </w:r>
      <w:r>
        <w:rPr>
          <w:rFonts w:ascii="Times New Roman" w:hAnsi="Times New Roman"/>
          <w:sz w:val="28"/>
          <w:szCs w:val="28"/>
        </w:rPr>
        <w:t>,</w:t>
      </w:r>
      <w:r w:rsidRPr="000B6C64">
        <w:rPr>
          <w:rFonts w:ascii="Times New Roman" w:hAnsi="Times New Roman"/>
          <w:sz w:val="28"/>
          <w:szCs w:val="28"/>
        </w:rPr>
        <w:t xml:space="preserve"> идея федерализации стала активно критиковаться в СМИ и органах власти, а ее сторонники  объявлялись сепаратистами, даже если и не являлись таковыми. Процесс насильственной украинизации особенно усилился  после прихода к власти Виктора Ющенко, что естественно вызывало пассивное сопротивление в русскоязычной юго-восточной части Украины. Можно констатировать, что именно действия центральных украинских властей привели к обострению отношений между украиноязычными и русскоязычными </w:t>
      </w:r>
      <w:r>
        <w:rPr>
          <w:rFonts w:ascii="Times New Roman" w:hAnsi="Times New Roman"/>
          <w:sz w:val="28"/>
          <w:szCs w:val="28"/>
        </w:rPr>
        <w:t>регионами</w:t>
      </w:r>
      <w:r w:rsidRPr="000B6C64">
        <w:rPr>
          <w:rFonts w:ascii="Times New Roman" w:hAnsi="Times New Roman"/>
          <w:sz w:val="28"/>
          <w:szCs w:val="28"/>
        </w:rPr>
        <w:t xml:space="preserve"> страны, что в свою очередь обусловило события 2014 года. </w:t>
      </w:r>
      <w:r>
        <w:rPr>
          <w:rFonts w:ascii="Times New Roman" w:hAnsi="Times New Roman"/>
          <w:sz w:val="28"/>
          <w:szCs w:val="28"/>
        </w:rPr>
        <w:t xml:space="preserve">Возникновению настроений по </w:t>
      </w:r>
      <w:r w:rsidRPr="000B6C64">
        <w:rPr>
          <w:rFonts w:ascii="Times New Roman" w:hAnsi="Times New Roman"/>
          <w:sz w:val="28"/>
          <w:szCs w:val="28"/>
        </w:rPr>
        <w:t xml:space="preserve">отделению Донбасса способствовало </w:t>
      </w:r>
      <w:r>
        <w:rPr>
          <w:rFonts w:ascii="Times New Roman" w:hAnsi="Times New Roman"/>
          <w:sz w:val="28"/>
          <w:szCs w:val="28"/>
        </w:rPr>
        <w:t xml:space="preserve">также </w:t>
      </w:r>
      <w:r w:rsidRPr="000B6C64">
        <w:rPr>
          <w:rFonts w:ascii="Times New Roman" w:hAnsi="Times New Roman"/>
          <w:sz w:val="28"/>
          <w:szCs w:val="28"/>
        </w:rPr>
        <w:t xml:space="preserve">явное этническое и культурное отличие его жителей от населения остальной Украины [1] и исторический опыт существования независимого донбасского государства в 1918-1919 годах. Согласно решению высших инстанций коммунистической партии в начале прошлого века Донецко-Криворожская республика была влита в состав УССР, хотя вплоть до середины двадцатых годов ХХ века местные органы власти поднимали вопрос о возвращении края в состав РСФСР. Однако начиная с тридцатых годов и вплоть до конца восьмидесятых вопрос </w:t>
      </w:r>
      <w:r>
        <w:rPr>
          <w:rFonts w:ascii="Times New Roman" w:hAnsi="Times New Roman"/>
          <w:sz w:val="28"/>
          <w:szCs w:val="28"/>
        </w:rPr>
        <w:t xml:space="preserve">о </w:t>
      </w:r>
      <w:r w:rsidRPr="000B6C64">
        <w:rPr>
          <w:rFonts w:ascii="Times New Roman" w:hAnsi="Times New Roman"/>
          <w:sz w:val="28"/>
          <w:szCs w:val="28"/>
        </w:rPr>
        <w:t>принадлежности Донбасса не поднимался.</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Проблемы самоидентификации жителей Донбасса и их видение политической ситуации вернулись на повестку дня лишь во времена Перестройки, а проходившие на альтернативной основе выборы народных депутатов СССР 1989 года стали катализатором общественно-политических процессов в регионе. Только начиная с этого времени можно говорить о начале полноценной общественно-политической жизни в регионе.</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Одним из первых в новейшей истории Донбасса публичных призывов к выходу региона из состава Украины можно считать статью  В. Чередниченко «Донецкая автономная республика – может, это выход?», опубликованную 20 июля </w:t>
      </w:r>
      <w:smartTag w:uri="urn:schemas-microsoft-com:office:smarttags" w:element="metricconverter">
        <w:smartTagPr>
          <w:attr w:name="ProductID" w:val="1991 г"/>
        </w:smartTagPr>
        <w:r w:rsidRPr="000B6C64">
          <w:rPr>
            <w:rFonts w:ascii="Times New Roman" w:hAnsi="Times New Roman"/>
            <w:sz w:val="28"/>
            <w:szCs w:val="28"/>
          </w:rPr>
          <w:t>1991 г</w:t>
        </w:r>
      </w:smartTag>
      <w:r w:rsidRPr="000B6C64">
        <w:rPr>
          <w:rFonts w:ascii="Times New Roman" w:hAnsi="Times New Roman"/>
          <w:sz w:val="28"/>
          <w:szCs w:val="28"/>
        </w:rPr>
        <w:t>. в газете «Комсомолец Донбасса». Автор предлагал провести областной референдум, на котором жители могли были бы высказать свое мнение о будущем края. В качестве возможных альтернатив рассматривались следующие: остаться областью в составе Украины, образовать автономию в составе Украины, войти в состав России, или трансформироваться в независимую Донецкую республику.</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Осенью 1991 года народный депутат Верховного Совета СССР В. Гончаров выступил с инициативой объединения восточных областей УССР в «территориальное автономное образование», в составе Украины.</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На это же время приходится активная деятельность Интернационального Движения Донбасса (ИДД), учредительная конференция которого состоялась 18 ноября 1990 года. При этом  актив организации начал действовать раньше ее официального создания. Центральный Совет ИДД составляли Дмитрий Корнилов, Виталий Заблоцкий, Виталий Хомутов, Ольга Маринцова, Владимир Корнилов, Евгений Маслов</w:t>
      </w:r>
      <w:r>
        <w:rPr>
          <w:rFonts w:ascii="Times New Roman" w:hAnsi="Times New Roman"/>
          <w:sz w:val="28"/>
          <w:szCs w:val="28"/>
        </w:rPr>
        <w:t>,</w:t>
      </w:r>
      <w:r w:rsidRPr="000B6C64">
        <w:rPr>
          <w:rFonts w:ascii="Times New Roman" w:hAnsi="Times New Roman"/>
          <w:sz w:val="28"/>
          <w:szCs w:val="28"/>
        </w:rPr>
        <w:t xml:space="preserve"> Игорь Сычёв.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Одним из направлений деятельности ИДД стала борьба за сохранение Советского Союза, причем интересно отметить, что в то время пробиться с такой позицией на телевидение или в газеты уже было необычайно тяжело, так как большинство СМИ однозначно работали на разрушение СССР. В результате Интердвижению приходилось рассчитывать исключительно на собственные возможности и ограничиваться листовками.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lang w:eastAsia="ru-RU"/>
        </w:rPr>
        <w:t>28 августа 1991 Центральный Совет ИДД принял Заявление «Об общественно-политической ситуации», в котором предлагал до проведения Всеукраинского референдума, посвященного Акту провозглашения независимости Украины (1 декабря 1991) провести референдум о предоставлении Донбассу автономного статуса в составе УССР.  В данном документе подчеркивалось, что Интернациональное движение Донбасса «не мыслит себя в отрыве ни от Украины, ни от России».</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 После обретения Украиной независимости основной деятельностью Интердвижения стала защит</w:t>
      </w:r>
      <w:r>
        <w:rPr>
          <w:rFonts w:ascii="Times New Roman" w:hAnsi="Times New Roman"/>
          <w:sz w:val="28"/>
          <w:szCs w:val="28"/>
        </w:rPr>
        <w:t>а</w:t>
      </w:r>
      <w:r w:rsidRPr="000B6C64">
        <w:rPr>
          <w:rFonts w:ascii="Times New Roman" w:hAnsi="Times New Roman"/>
          <w:sz w:val="28"/>
          <w:szCs w:val="28"/>
        </w:rPr>
        <w:t xml:space="preserve"> интересов края в новых условиях. По мнению Дмитрия Корнилова и его товарищей, чтобы сохранить самобытность региона, необходимо было остановить насильственную украинизацию края, а для смягчения противоречий в разнородной стране Украину стоило превратить в федерацию, где Донбасс будет относительно независим от Киева.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Федеративное устройство должно было </w:t>
      </w:r>
      <w:r>
        <w:rPr>
          <w:rFonts w:ascii="Times New Roman" w:hAnsi="Times New Roman"/>
          <w:sz w:val="28"/>
          <w:szCs w:val="28"/>
        </w:rPr>
        <w:t xml:space="preserve">и  могло бы </w:t>
      </w:r>
      <w:r w:rsidRPr="000B6C64">
        <w:rPr>
          <w:rFonts w:ascii="Times New Roman" w:hAnsi="Times New Roman"/>
          <w:sz w:val="28"/>
          <w:szCs w:val="28"/>
        </w:rPr>
        <w:t>снять напряжение между отдельными регионами и стать инструментом для сохранения социального и межнационального мира, а также экономической и национально-культурной самобытности регионов.</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Хоть ИДД не призывало к полному отделению Донбасса, но в украинских СМИ интердвижение неоднократно объявлялось сепаратистским, что заставило Дмитрия Корнилова выступить с опровержением этого обвинения. [2]</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Интересно отметить, что современный флаг Донецкой Народной республики восходит корнями к символике Интердвижения. Именно соратники ИДД создали красно-сине-чёрный триколор, добавив к флагу советской Украины  черную полосу, символизирующую уголь Донбасса. Это был своеобразный донецкий ответ на распространение сине-желтого флага сторонников отделения УССР. Широкая публика впервые увидела донбасский триколор 8 октября 1991 года на митинге в областном центре. [3]</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Еще одной организацией со схожими взглядами был Конгресс гражданского действия (КГД). Несмотря на то, что активисты КГД в основном занимались различными гуманитарными проектами по возрождению духовности и культуры региона, а также вели исследовательскую и аналитическую работу в экономической и правовой сферах,  они также выступили за   создание «Донецкой федеративной земли». [4] Хотя по проекту Конгресса Донбасс должен был остаться в составе Украины, активисты националистических организаций объявили активистов КГД сепаратистами и устроили активную компанию по их шельмованию. Помимо обвинений в прессе, ими были организованы акции уличного протеста  у дома лидера КГД академика В.К. Мамутова. [5]</w:t>
      </w:r>
    </w:p>
    <w:p w:rsidR="00B0574C" w:rsidRPr="000B6C64" w:rsidRDefault="00B0574C" w:rsidP="000B6C64">
      <w:pPr>
        <w:shd w:val="clear" w:color="auto" w:fill="FFFFFF"/>
        <w:spacing w:line="360" w:lineRule="auto"/>
        <w:ind w:firstLine="709"/>
        <w:jc w:val="both"/>
        <w:rPr>
          <w:rFonts w:ascii="Times New Roman" w:hAnsi="Times New Roman"/>
          <w:sz w:val="28"/>
          <w:szCs w:val="28"/>
        </w:rPr>
      </w:pPr>
      <w:r w:rsidRPr="000B6C64">
        <w:rPr>
          <w:rFonts w:ascii="Times New Roman" w:hAnsi="Times New Roman"/>
          <w:sz w:val="28"/>
          <w:szCs w:val="28"/>
        </w:rPr>
        <w:t>В октябре 1991 года на 7-й сессия Донецкого областного Совета народных депутатов рассматривался вопрос о статусе области</w:t>
      </w:r>
      <w:r>
        <w:rPr>
          <w:rFonts w:ascii="Times New Roman" w:hAnsi="Times New Roman"/>
          <w:sz w:val="28"/>
          <w:szCs w:val="28"/>
        </w:rPr>
        <w:t>,</w:t>
      </w:r>
      <w:r w:rsidRPr="000B6C64">
        <w:rPr>
          <w:rFonts w:ascii="Times New Roman" w:hAnsi="Times New Roman"/>
          <w:sz w:val="28"/>
          <w:szCs w:val="28"/>
        </w:rPr>
        <w:t xml:space="preserve"> в результате чего было принято обращение в Верховный Совет Украины с предложением закрепить в </w:t>
      </w:r>
      <w:r>
        <w:rPr>
          <w:rFonts w:ascii="Times New Roman" w:hAnsi="Times New Roman"/>
          <w:sz w:val="28"/>
          <w:szCs w:val="28"/>
        </w:rPr>
        <w:t>К</w:t>
      </w:r>
      <w:r w:rsidRPr="000B6C64">
        <w:rPr>
          <w:rFonts w:ascii="Times New Roman" w:hAnsi="Times New Roman"/>
          <w:sz w:val="28"/>
          <w:szCs w:val="28"/>
        </w:rPr>
        <w:t>онституции Украины положение о федеративном устройстве государства. [6]</w:t>
      </w:r>
    </w:p>
    <w:p w:rsidR="00B0574C" w:rsidRPr="000B6C64" w:rsidRDefault="00B0574C" w:rsidP="000B6C64">
      <w:pPr>
        <w:pStyle w:val="NormalWeb"/>
        <w:shd w:val="clear" w:color="auto" w:fill="FFFFFF"/>
        <w:spacing w:before="0" w:beforeAutospacing="0" w:after="0" w:afterAutospacing="0" w:line="360" w:lineRule="auto"/>
        <w:ind w:firstLine="709"/>
        <w:jc w:val="both"/>
        <w:rPr>
          <w:sz w:val="28"/>
          <w:szCs w:val="28"/>
        </w:rPr>
      </w:pPr>
      <w:r w:rsidRPr="000B6C64">
        <w:rPr>
          <w:sz w:val="28"/>
          <w:szCs w:val="28"/>
        </w:rPr>
        <w:t>26 октября</w:t>
      </w:r>
      <w:r w:rsidRPr="000B6C64">
        <w:rPr>
          <w:rStyle w:val="apple-converted-space"/>
          <w:sz w:val="28"/>
          <w:szCs w:val="28"/>
        </w:rPr>
        <w:t> </w:t>
      </w:r>
      <w:r w:rsidRPr="000B6C64">
        <w:rPr>
          <w:sz w:val="28"/>
          <w:szCs w:val="28"/>
        </w:rPr>
        <w:t>1991 г. в Донецке состоялось совещание народных депутатов всех уровней Юга и Востока Украины, на котором представители местной власти приняли адресованное  Верховному Совету Украины заявление с предложением  «Внести положение о федеративно-земельном устройстве Украины в концепцию и в проект Конституции Украины; в течение ноября</w:t>
      </w:r>
      <w:r w:rsidRPr="000B6C64">
        <w:rPr>
          <w:rStyle w:val="apple-converted-space"/>
          <w:sz w:val="28"/>
          <w:szCs w:val="28"/>
        </w:rPr>
        <w:t> </w:t>
      </w:r>
      <w:r w:rsidRPr="000B6C64">
        <w:rPr>
          <w:sz w:val="28"/>
          <w:szCs w:val="28"/>
        </w:rPr>
        <w:t>1991 г. обсудить проект новой Конституции Украины и вынести его на всенародное обсуждение».  [7]</w:t>
      </w:r>
    </w:p>
    <w:p w:rsidR="00B0574C" w:rsidRPr="000B6C64" w:rsidRDefault="00B0574C" w:rsidP="000B6C64">
      <w:pPr>
        <w:pStyle w:val="NormalWeb"/>
        <w:shd w:val="clear" w:color="auto" w:fill="FFFFFF"/>
        <w:spacing w:before="0" w:beforeAutospacing="0" w:after="0" w:afterAutospacing="0" w:line="360" w:lineRule="auto"/>
        <w:ind w:firstLine="709"/>
        <w:jc w:val="both"/>
        <w:rPr>
          <w:sz w:val="28"/>
          <w:szCs w:val="28"/>
        </w:rPr>
      </w:pPr>
      <w:r>
        <w:rPr>
          <w:sz w:val="28"/>
          <w:szCs w:val="28"/>
        </w:rPr>
        <w:t>В</w:t>
      </w:r>
      <w:r w:rsidRPr="000B6C64">
        <w:rPr>
          <w:sz w:val="28"/>
          <w:szCs w:val="28"/>
        </w:rPr>
        <w:t xml:space="preserve"> начале 1990-х годов на экспертном уровне </w:t>
      </w:r>
      <w:r>
        <w:rPr>
          <w:sz w:val="28"/>
          <w:szCs w:val="28"/>
        </w:rPr>
        <w:t xml:space="preserve">также </w:t>
      </w:r>
      <w:r w:rsidRPr="000B6C64">
        <w:rPr>
          <w:sz w:val="28"/>
          <w:szCs w:val="28"/>
        </w:rPr>
        <w:t>активно обсуждалась идея экономического объединения Луганской, Донецкой, Днепропетровской и Запорожской областей, в 1918 году входивших в состав Донецко-Криворожской республики. В марте 1993 власти этих регионов обратились к президенту Украины Леониду Кравчуку с просьбой о поддержке  этой идеи и даже разработали проект Указа президента о создании экономического самоуправления Приднепровско-Донецкого региона.  Впоследствии это могло</w:t>
      </w:r>
      <w:r>
        <w:rPr>
          <w:sz w:val="28"/>
          <w:szCs w:val="28"/>
        </w:rPr>
        <w:t xml:space="preserve"> бы</w:t>
      </w:r>
      <w:r w:rsidRPr="000B6C64">
        <w:rPr>
          <w:sz w:val="28"/>
          <w:szCs w:val="28"/>
        </w:rPr>
        <w:t xml:space="preserve"> привести и к политическому объединению данных областей, однако эта инициатива не нашла </w:t>
      </w:r>
      <w:r>
        <w:rPr>
          <w:sz w:val="28"/>
          <w:szCs w:val="28"/>
        </w:rPr>
        <w:t>поддержки</w:t>
      </w:r>
      <w:r w:rsidRPr="000B6C64">
        <w:rPr>
          <w:sz w:val="28"/>
          <w:szCs w:val="28"/>
        </w:rPr>
        <w:t xml:space="preserve"> в Киеве.</w:t>
      </w:r>
    </w:p>
    <w:p w:rsidR="00B0574C" w:rsidRPr="000B6C64" w:rsidRDefault="00B0574C" w:rsidP="000B6C64">
      <w:pPr>
        <w:pStyle w:val="NormalWeb"/>
        <w:shd w:val="clear" w:color="auto" w:fill="FFFFFF"/>
        <w:spacing w:before="0" w:beforeAutospacing="0" w:after="0" w:afterAutospacing="0" w:line="360" w:lineRule="auto"/>
        <w:ind w:firstLine="709"/>
        <w:jc w:val="both"/>
        <w:rPr>
          <w:sz w:val="28"/>
          <w:szCs w:val="28"/>
        </w:rPr>
      </w:pPr>
      <w:r w:rsidRPr="000B6C64">
        <w:rPr>
          <w:sz w:val="28"/>
          <w:szCs w:val="28"/>
        </w:rPr>
        <w:t xml:space="preserve">В 1993 году в Донецке началась очередная шахтерская забастовка, участники которой кроме экономических требований выдвинули и политические, в частности  </w:t>
      </w:r>
      <w:r>
        <w:rPr>
          <w:sz w:val="28"/>
          <w:szCs w:val="28"/>
        </w:rPr>
        <w:t>о предоставлении</w:t>
      </w:r>
      <w:r w:rsidRPr="000B6C64">
        <w:rPr>
          <w:sz w:val="28"/>
          <w:szCs w:val="28"/>
        </w:rPr>
        <w:t xml:space="preserve"> автономии Донбассу. Часть требований бастующих была выполнена, а политические были отложены в связи с назначением новых президентских выборов.</w:t>
      </w:r>
    </w:p>
    <w:p w:rsidR="00B0574C" w:rsidRPr="000B6C64" w:rsidRDefault="00B0574C" w:rsidP="000B6C64">
      <w:pPr>
        <w:pStyle w:val="NormalWeb"/>
        <w:shd w:val="clear" w:color="auto" w:fill="FFFFFF"/>
        <w:spacing w:before="0" w:beforeAutospacing="0" w:after="0" w:afterAutospacing="0" w:line="360" w:lineRule="auto"/>
        <w:ind w:firstLine="709"/>
        <w:jc w:val="both"/>
        <w:rPr>
          <w:sz w:val="28"/>
          <w:szCs w:val="28"/>
        </w:rPr>
      </w:pPr>
      <w:r w:rsidRPr="000B6C64">
        <w:rPr>
          <w:sz w:val="28"/>
          <w:szCs w:val="28"/>
        </w:rPr>
        <w:t>Большое количество сторонников автономии Донбасса и их деятельность привела к тому, что  местная власть была вынуждена вынести вопросы федерализации, защиты русского языка и интеграции с Россией на всеобщее обсуждение. 27 марта 1994 года параллельно с выборами  в Верховную раду Украины в Донецкой и Луганской областях прошел референдум (совещательный опрос) на который были вынесены такие вопросы:</w:t>
      </w:r>
    </w:p>
    <w:p w:rsidR="00B0574C" w:rsidRPr="000B6C64" w:rsidRDefault="00B0574C" w:rsidP="000B6C64">
      <w:pPr>
        <w:pStyle w:val="ListParagraph"/>
        <w:numPr>
          <w:ilvl w:val="0"/>
          <w:numId w:val="2"/>
        </w:numPr>
        <w:spacing w:line="360" w:lineRule="auto"/>
        <w:ind w:left="0" w:firstLine="709"/>
        <w:jc w:val="both"/>
        <w:rPr>
          <w:sz w:val="28"/>
          <w:szCs w:val="28"/>
        </w:rPr>
      </w:pPr>
      <w:r w:rsidRPr="000B6C64">
        <w:rPr>
          <w:sz w:val="28"/>
          <w:szCs w:val="28"/>
        </w:rPr>
        <w:t>Согласны ли вы с тем, чтобы Конституция Украины закрепила федеративно-земельное устройство Украины?</w:t>
      </w:r>
    </w:p>
    <w:p w:rsidR="00B0574C" w:rsidRPr="000B6C64" w:rsidRDefault="00B0574C" w:rsidP="000B6C64">
      <w:pPr>
        <w:pStyle w:val="ListParagraph"/>
        <w:numPr>
          <w:ilvl w:val="0"/>
          <w:numId w:val="2"/>
        </w:numPr>
        <w:spacing w:line="360" w:lineRule="auto"/>
        <w:ind w:left="0" w:firstLine="709"/>
        <w:jc w:val="both"/>
        <w:rPr>
          <w:sz w:val="28"/>
          <w:szCs w:val="28"/>
        </w:rPr>
      </w:pPr>
      <w:r w:rsidRPr="000B6C64">
        <w:rPr>
          <w:sz w:val="28"/>
          <w:szCs w:val="28"/>
        </w:rPr>
        <w:t>Согласны ли вы с тем, чтобы Конституция Украины закрепила функционирование русского языка в качестве государственного языка Украины наряду с государственным украинским языком?</w:t>
      </w:r>
    </w:p>
    <w:p w:rsidR="00B0574C" w:rsidRPr="000B6C64" w:rsidRDefault="00B0574C" w:rsidP="000B6C64">
      <w:pPr>
        <w:pStyle w:val="ListParagraph"/>
        <w:numPr>
          <w:ilvl w:val="0"/>
          <w:numId w:val="2"/>
        </w:numPr>
        <w:spacing w:line="360" w:lineRule="auto"/>
        <w:ind w:left="0" w:firstLine="709"/>
        <w:jc w:val="both"/>
        <w:rPr>
          <w:sz w:val="28"/>
          <w:szCs w:val="28"/>
        </w:rPr>
      </w:pPr>
      <w:r w:rsidRPr="000B6C64">
        <w:rPr>
          <w:sz w:val="28"/>
          <w:szCs w:val="28"/>
        </w:rPr>
        <w:t>Согласны ли вы с тем, чтобы на территории Донецкой (Луганской) области языком работы, делопроизводства и документации, а также образования и науки был русский язык наряду с украинским?</w:t>
      </w:r>
    </w:p>
    <w:p w:rsidR="00B0574C" w:rsidRPr="000B6C64" w:rsidRDefault="00B0574C" w:rsidP="000B6C64">
      <w:pPr>
        <w:pStyle w:val="ListParagraph"/>
        <w:numPr>
          <w:ilvl w:val="0"/>
          <w:numId w:val="2"/>
        </w:numPr>
        <w:spacing w:line="360" w:lineRule="auto"/>
        <w:ind w:left="0" w:firstLine="709"/>
        <w:jc w:val="both"/>
        <w:rPr>
          <w:sz w:val="28"/>
          <w:szCs w:val="28"/>
        </w:rPr>
      </w:pPr>
      <w:r w:rsidRPr="000B6C64">
        <w:rPr>
          <w:sz w:val="28"/>
          <w:szCs w:val="28"/>
        </w:rPr>
        <w:t xml:space="preserve">Вы за подписание Устава СНГ, полноправное участие Украины в экономическом союзе, в межпарламентской ассамблее государств СНГ?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Результат был легко прогнозируемым – подавляющее большинство жителей Донбасса ответило «да» на все вопросы. [8]</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Осенью 1991 года в Донецке прошел Конгресс интеллигенции Донбасса, в работе которого </w:t>
      </w:r>
      <w:r>
        <w:rPr>
          <w:rFonts w:ascii="Times New Roman" w:hAnsi="Times New Roman"/>
          <w:sz w:val="28"/>
          <w:szCs w:val="28"/>
        </w:rPr>
        <w:t xml:space="preserve">приняли </w:t>
      </w:r>
      <w:r w:rsidRPr="000B6C64">
        <w:rPr>
          <w:rFonts w:ascii="Times New Roman" w:hAnsi="Times New Roman"/>
          <w:sz w:val="28"/>
          <w:szCs w:val="28"/>
        </w:rPr>
        <w:t>участ</w:t>
      </w:r>
      <w:r>
        <w:rPr>
          <w:rFonts w:ascii="Times New Roman" w:hAnsi="Times New Roman"/>
          <w:sz w:val="28"/>
          <w:szCs w:val="28"/>
        </w:rPr>
        <w:t xml:space="preserve">ие </w:t>
      </w:r>
      <w:r w:rsidRPr="000B6C64">
        <w:rPr>
          <w:rFonts w:ascii="Times New Roman" w:hAnsi="Times New Roman"/>
          <w:sz w:val="28"/>
          <w:szCs w:val="28"/>
        </w:rPr>
        <w:t>более 600 представителей различных городов региона. Конгресс послужил толчком к активной общественной деятельности, которая выразилась в появлении рада организаций и групп активистов, наиболее известным из которых стало «Движени</w:t>
      </w:r>
      <w:r>
        <w:rPr>
          <w:rFonts w:ascii="Times New Roman" w:hAnsi="Times New Roman"/>
          <w:sz w:val="28"/>
          <w:szCs w:val="28"/>
        </w:rPr>
        <w:t>е</w:t>
      </w:r>
      <w:r w:rsidRPr="000B6C64">
        <w:rPr>
          <w:rFonts w:ascii="Times New Roman" w:hAnsi="Times New Roman"/>
          <w:sz w:val="28"/>
          <w:szCs w:val="28"/>
        </w:rPr>
        <w:t xml:space="preserve"> за возрождение Донбасса». Общими целями этих сил были: повышение статуса региона и расширение прав местной власти, государственный статус для русского языка, интеграция с Россией и противостояние украинскому национализму. Настроенность этих организаций по отношению к проводимой центральной властью политике и Украине в целом колебалась от осторожного нейтралитета до острого неприятия.</w:t>
      </w:r>
    </w:p>
    <w:p w:rsidR="00B0574C" w:rsidRPr="000B6C64" w:rsidRDefault="00B0574C" w:rsidP="000B6C64">
      <w:pPr>
        <w:spacing w:line="360" w:lineRule="auto"/>
        <w:ind w:firstLine="709"/>
        <w:jc w:val="both"/>
        <w:rPr>
          <w:rFonts w:ascii="Times New Roman" w:hAnsi="Times New Roman"/>
          <w:sz w:val="28"/>
          <w:szCs w:val="28"/>
          <w:shd w:val="clear" w:color="auto" w:fill="FFFFFF"/>
        </w:rPr>
      </w:pPr>
      <w:r w:rsidRPr="000B6C64">
        <w:rPr>
          <w:rFonts w:ascii="Times New Roman" w:hAnsi="Times New Roman"/>
          <w:sz w:val="28"/>
          <w:szCs w:val="28"/>
          <w:shd w:val="clear" w:color="auto" w:fill="FFFFFF"/>
        </w:rPr>
        <w:t xml:space="preserve">16 мая 1992 года в Донецке под председательством Николая Азарова прошел учредительный съезд всеукраинской прорусской партии, получившей название Гражданский конгресс Украины. Официальную регистрацию в Министерстве Юстиции партия получила в июне 1993 года. Ее руководителем был избран доцент Донецкого государственного университета Александр Базилюк. </w:t>
      </w:r>
    </w:p>
    <w:p w:rsidR="00B0574C" w:rsidRPr="000B6C64" w:rsidRDefault="00B0574C" w:rsidP="000B6C64">
      <w:pPr>
        <w:spacing w:line="360" w:lineRule="auto"/>
        <w:ind w:firstLine="709"/>
        <w:jc w:val="both"/>
        <w:rPr>
          <w:rFonts w:ascii="Times New Roman" w:hAnsi="Times New Roman"/>
          <w:sz w:val="28"/>
          <w:szCs w:val="28"/>
          <w:shd w:val="clear" w:color="auto" w:fill="FFFFFF"/>
        </w:rPr>
      </w:pPr>
      <w:r w:rsidRPr="000B6C64">
        <w:rPr>
          <w:rFonts w:ascii="Times New Roman" w:hAnsi="Times New Roman"/>
          <w:sz w:val="28"/>
          <w:szCs w:val="28"/>
          <w:shd w:val="clear" w:color="auto" w:fill="FFFFFF"/>
        </w:rPr>
        <w:t xml:space="preserve">Первыми громкими акциями новой политической силы стали всеукраинские сборы подписей за "политический, экономический, оборонный Союз России, Украины, Белоруссии и Казахстана", двойное гражданство и два (русский и украинский) государственных языка. Также партия вела активную пропагандистскую работу, привлекая в свои ряды сторонников интеграции постсоветского пространства. </w:t>
      </w:r>
    </w:p>
    <w:p w:rsidR="00B0574C" w:rsidRPr="000B6C64" w:rsidRDefault="00B0574C" w:rsidP="000B6C64">
      <w:pPr>
        <w:spacing w:line="360" w:lineRule="auto"/>
        <w:ind w:firstLine="709"/>
        <w:jc w:val="both"/>
        <w:rPr>
          <w:rFonts w:ascii="Times New Roman" w:hAnsi="Times New Roman"/>
          <w:sz w:val="28"/>
          <w:szCs w:val="28"/>
          <w:shd w:val="clear" w:color="auto" w:fill="FFFFFF"/>
        </w:rPr>
      </w:pPr>
      <w:r w:rsidRPr="000B6C64">
        <w:rPr>
          <w:rFonts w:ascii="Times New Roman" w:hAnsi="Times New Roman"/>
          <w:sz w:val="28"/>
          <w:szCs w:val="28"/>
          <w:shd w:val="clear" w:color="auto" w:fill="FFFFFF"/>
        </w:rPr>
        <w:t xml:space="preserve">По результатам парламентских выборов 1994 года два представителя партии стали депутатами Верховной Рады. Руководство партии приняло участие в работе Съезда уполномоченных представителей зарубежных российских общин, организаций и объединений, состоявшегося 6 - 7 июля 1995 в Москве по инициативе Государственной Думы Российской Федерации. В 1996 году партия инициировала создание Всеукраинского союза русских организаций, получившего название Конгресс Русских организаций. В том же году партия приняла участие в шахтерских акциях протеста, а после их подавления по инициативе члена ГКУ депутата Верховной Рады Юрия Болдырева был принят закон об амнистии участников протеста, нарушивших закон. </w:t>
      </w:r>
    </w:p>
    <w:p w:rsidR="00B0574C" w:rsidRPr="000B6C64" w:rsidRDefault="00B0574C" w:rsidP="000B6C64">
      <w:pPr>
        <w:spacing w:line="360" w:lineRule="auto"/>
        <w:ind w:firstLine="709"/>
        <w:jc w:val="both"/>
        <w:rPr>
          <w:rStyle w:val="apple-converted-space"/>
          <w:rFonts w:ascii="Times New Roman" w:hAnsi="Times New Roman"/>
          <w:sz w:val="28"/>
          <w:szCs w:val="28"/>
          <w:shd w:val="clear" w:color="auto" w:fill="FFFFFF"/>
        </w:rPr>
      </w:pPr>
      <w:r w:rsidRPr="000B6C64">
        <w:rPr>
          <w:rFonts w:ascii="Times New Roman" w:hAnsi="Times New Roman"/>
          <w:sz w:val="28"/>
          <w:szCs w:val="28"/>
          <w:shd w:val="clear" w:color="auto" w:fill="FFFFFF"/>
        </w:rPr>
        <w:t>В 1998 году партия была переименована и получила название Славянская партия. Несмотря на всеукраинский масштаб работы, базовым для партии оставался Донецкий регион, где находилась ее штаб-квартира. К концу 1990-х годов по ряду объективных и субъективных причин активность и ее влияние партии сошли на нет.  По мнению Ф. Туровского это было связано с тем, что «Во второй половине 1990-х гг. инициатива на местной политической сцене перешла к партиям, представляющим местный истеблишмент – чиновничество и директорский корпус. Партии, выражавшие особые политико-культурные интересы Донбасса, потеряли свое влияние».</w:t>
      </w:r>
      <w:r w:rsidRPr="000B6C64">
        <w:rPr>
          <w:rStyle w:val="apple-converted-space"/>
          <w:rFonts w:ascii="Times New Roman" w:hAnsi="Times New Roman"/>
          <w:sz w:val="28"/>
          <w:szCs w:val="28"/>
          <w:shd w:val="clear" w:color="auto" w:fill="FFFFFF"/>
        </w:rPr>
        <w:t> </w:t>
      </w:r>
      <w:r w:rsidRPr="000B6C64">
        <w:rPr>
          <w:rFonts w:ascii="Times New Roman" w:hAnsi="Times New Roman"/>
          <w:sz w:val="28"/>
          <w:szCs w:val="28"/>
        </w:rPr>
        <w:t>[9]</w:t>
      </w:r>
      <w:r w:rsidRPr="000B6C64">
        <w:rPr>
          <w:rStyle w:val="apple-converted-space"/>
          <w:rFonts w:ascii="Times New Roman" w:hAnsi="Times New Roman"/>
          <w:sz w:val="28"/>
          <w:szCs w:val="28"/>
          <w:shd w:val="clear" w:color="auto" w:fill="FFFFFF"/>
        </w:rPr>
        <w:t> </w:t>
      </w:r>
    </w:p>
    <w:p w:rsidR="00B0574C" w:rsidRPr="000B6C64" w:rsidRDefault="00B0574C" w:rsidP="000B6C64">
      <w:pPr>
        <w:spacing w:line="360" w:lineRule="auto"/>
        <w:ind w:firstLine="709"/>
        <w:jc w:val="both"/>
        <w:rPr>
          <w:rFonts w:ascii="Times New Roman" w:hAnsi="Times New Roman"/>
          <w:sz w:val="28"/>
          <w:szCs w:val="28"/>
          <w:lang w:eastAsia="ru-RU"/>
        </w:rPr>
      </w:pPr>
      <w:r w:rsidRPr="000B6C64">
        <w:rPr>
          <w:rStyle w:val="apple-converted-space"/>
          <w:rFonts w:ascii="Times New Roman" w:hAnsi="Times New Roman"/>
          <w:sz w:val="28"/>
          <w:szCs w:val="28"/>
          <w:shd w:val="clear" w:color="auto" w:fill="FFFFFF"/>
        </w:rPr>
        <w:t>Также в Донбассе в 1990-е годы действовало отделение всеукраинской прорусской П</w:t>
      </w:r>
      <w:r w:rsidRPr="000B6C64">
        <w:rPr>
          <w:rFonts w:ascii="Times New Roman" w:hAnsi="Times New Roman"/>
          <w:sz w:val="28"/>
          <w:szCs w:val="28"/>
          <w:lang w:eastAsia="ru-RU"/>
        </w:rPr>
        <w:t>артии славянского единства (ПСЕ), созданной в 1992 году. В отличие от ГКУ активисты ПСЕ отличались радикальностью взглядов, а сама партия имела явный национал-патриотический и православный уклон. К концу девяностых годов партия распалась и прекратила свою деятельность. Зато на рубеже веков и в первые годы нового столетия в регионе активно действовал близкий по идеологии к ПСЕ филиал российской правой организации «Русское национальное единство» (РНЕ). Одним из руководителей этой организации был Павел Губарев, в 2014 году ставший «народным губернатором» и символом «Русской весны». В 2002-2003 годах РНЕ работало преимущественно со студенческой молодежью, делая акцент на военно-патриотической подготовке. В преддверии президентских выборов 2004 года РНЕ как организация свернула свою публичную деятельность, а ее активисты оказались задействованы в различных политических проектах. Впрочем, как показали события «Русской весны»</w:t>
      </w:r>
      <w:r>
        <w:rPr>
          <w:rFonts w:ascii="Times New Roman" w:hAnsi="Times New Roman"/>
          <w:sz w:val="28"/>
          <w:szCs w:val="28"/>
          <w:lang w:eastAsia="ru-RU"/>
        </w:rPr>
        <w:t>,</w:t>
      </w:r>
      <w:r w:rsidRPr="000B6C64">
        <w:rPr>
          <w:rFonts w:ascii="Times New Roman" w:hAnsi="Times New Roman"/>
          <w:sz w:val="28"/>
          <w:szCs w:val="28"/>
          <w:lang w:eastAsia="ru-RU"/>
        </w:rPr>
        <w:t xml:space="preserve"> костяк донецкой организации РНЕ сохранился и под другим названием превратился в один из центров кристализации противников киевского режима.</w:t>
      </w:r>
    </w:p>
    <w:p w:rsidR="00B0574C" w:rsidRPr="000B6C64" w:rsidRDefault="00B0574C" w:rsidP="000B6C64">
      <w:pPr>
        <w:spacing w:line="360" w:lineRule="auto"/>
        <w:ind w:firstLine="709"/>
        <w:jc w:val="both"/>
        <w:rPr>
          <w:rFonts w:ascii="Times New Roman" w:hAnsi="Times New Roman"/>
          <w:sz w:val="28"/>
          <w:szCs w:val="28"/>
          <w:lang w:eastAsia="ru-RU"/>
        </w:rPr>
      </w:pPr>
      <w:r w:rsidRPr="000B6C64">
        <w:rPr>
          <w:rFonts w:ascii="Times New Roman" w:hAnsi="Times New Roman"/>
          <w:sz w:val="28"/>
          <w:szCs w:val="28"/>
          <w:lang w:eastAsia="ru-RU"/>
        </w:rPr>
        <w:t>Лево-радикальный фланг прорусских организаций Донбасса занимали сторонники российской Национал-Большевистской партии (НБП), однако они не имели серьезной поддержки в обществе, оставаясь маргинальной структурой в политикуме региона. Пик их активности пришелся на 2005-2007 годы. Впоследствии донецкие нацболы влились в состав организации «Донецкая республика».</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 К концу девяностых годов </w:t>
      </w:r>
      <w:r w:rsidRPr="000B6C64">
        <w:rPr>
          <w:rFonts w:ascii="Times New Roman" w:hAnsi="Times New Roman"/>
          <w:sz w:val="28"/>
          <w:szCs w:val="28"/>
          <w:shd w:val="clear" w:color="auto" w:fill="FFFFFF"/>
        </w:rPr>
        <w:t xml:space="preserve">в Донбассе окончательно завершилось формирование местной элиты, закончилось перераспределение собственности и выстроилась формальная и неформальная властная иерархия, были установлены неписаные правила сосуществования разных финансово-промышленных групп. В мае этого года Виктор Янукович совместил посты </w:t>
      </w:r>
      <w:r w:rsidRPr="000B6C64">
        <w:rPr>
          <w:rFonts w:ascii="Times New Roman" w:hAnsi="Times New Roman"/>
          <w:sz w:val="28"/>
          <w:szCs w:val="28"/>
        </w:rPr>
        <w:t xml:space="preserve">председателя Облсовета и главы облгосадминистрации, тем самым замкнув на себе всю официальную властную вертикаль в регионе. Одновременно должность заместителя председателя Облсовета получил Борис Колесников, представлявший бизнес-империю Рината Ахметова, которая получила доступ к админресурсу и легальным рычагам влияния на Донбасс.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Сила и возможности «донецких» были наглядно продемонстрированы в том же году во время президентских выборов. До этого регион считался абсолютно «красным», и кандидат от Компартии, дончанин Симоненко вполне обоснованно рассчитывал получить здесь большинство голосов. К тому же, оправившись от удара 1991 года, коммунисты все последние годы уверенно отвоевывали позиции и на выборах получали массовую поддержку по всей стране, что позволяло им иметь крупнейшую фракцию в парламенте. В 1999 году эта красная реконкиста должна была увенчаться закономерным итогом – президентом-коммунистом.  Однако действующий президент Кучма сумел заручиться поддержкой региональной элиты Донбасса. В результате этого альянса  все оппозиционные или просто неподконтрольные президенту политические силы региона получили тяжелый удар, потеряли большую часть спонсорской поддержки, лишились доступа к СМИ и не могли эффективно продолжать борьбу за власть.</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В результате этого монопольное положение в Донбассе заняла Партия регионов, вытеснившая все иные общественные и политические организации на обочину политического процесса, что в свою очередь привело к временному прекращению активной политической жизни в области.</w:t>
      </w:r>
    </w:p>
    <w:p w:rsidR="00B0574C" w:rsidRPr="000B6C64" w:rsidRDefault="00B0574C" w:rsidP="000B6C64">
      <w:pPr>
        <w:spacing w:line="360" w:lineRule="auto"/>
        <w:ind w:firstLine="709"/>
        <w:jc w:val="both"/>
        <w:rPr>
          <w:rFonts w:ascii="Times New Roman" w:hAnsi="Times New Roman"/>
          <w:sz w:val="28"/>
          <w:szCs w:val="28"/>
          <w:shd w:val="clear" w:color="auto" w:fill="FFFFFF"/>
        </w:rPr>
      </w:pPr>
      <w:r w:rsidRPr="000B6C64">
        <w:rPr>
          <w:rFonts w:ascii="Times New Roman" w:hAnsi="Times New Roman"/>
          <w:sz w:val="28"/>
          <w:szCs w:val="28"/>
          <w:shd w:val="clear" w:color="auto" w:fill="FFFFFF"/>
        </w:rPr>
        <w:t xml:space="preserve">Несмотря на все препятствия со стороны украинских националистических организаций и органов центральной власти, патриотами Донбасса в регионе проводились многочисленные </w:t>
      </w:r>
      <w:r w:rsidRPr="000B6C64">
        <w:rPr>
          <w:rFonts w:ascii="Times New Roman" w:hAnsi="Times New Roman"/>
          <w:sz w:val="28"/>
          <w:szCs w:val="28"/>
        </w:rPr>
        <w:t xml:space="preserve">круглые столы и конференции, призванные найти ответ на вызовы времени. </w:t>
      </w:r>
      <w:r>
        <w:rPr>
          <w:rFonts w:ascii="Times New Roman" w:hAnsi="Times New Roman"/>
          <w:sz w:val="28"/>
          <w:szCs w:val="28"/>
        </w:rPr>
        <w:t>Р</w:t>
      </w:r>
      <w:r w:rsidRPr="000B6C64">
        <w:rPr>
          <w:rFonts w:ascii="Times New Roman" w:hAnsi="Times New Roman"/>
          <w:sz w:val="28"/>
          <w:szCs w:val="28"/>
        </w:rPr>
        <w:t xml:space="preserve">езультаты мозговых штурмов транслировались в общество в виде статей в газетах и на сайтах, изданий соответствующей литературы, </w:t>
      </w:r>
      <w:r>
        <w:rPr>
          <w:rFonts w:ascii="Times New Roman" w:hAnsi="Times New Roman"/>
          <w:sz w:val="28"/>
          <w:szCs w:val="28"/>
        </w:rPr>
        <w:t xml:space="preserve">а также </w:t>
      </w:r>
      <w:r w:rsidRPr="000B6C64">
        <w:rPr>
          <w:rFonts w:ascii="Times New Roman" w:hAnsi="Times New Roman"/>
          <w:sz w:val="28"/>
          <w:szCs w:val="28"/>
        </w:rPr>
        <w:t>проведения образовательных мероприятий для молодежи и т.д.</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Таким образом, можно сделать вывод о том, что в 1990-2000-х годах идеи сохранения максимально тесных связей с Россией, защиты русского языка и превращения Донбасса в автономный регион были весьма популярны в обществе</w:t>
      </w:r>
      <w:r>
        <w:rPr>
          <w:rFonts w:ascii="Times New Roman" w:hAnsi="Times New Roman"/>
          <w:sz w:val="28"/>
          <w:szCs w:val="28"/>
        </w:rPr>
        <w:t>,</w:t>
      </w:r>
      <w:r w:rsidRPr="000B6C64">
        <w:rPr>
          <w:rFonts w:ascii="Times New Roman" w:hAnsi="Times New Roman"/>
          <w:sz w:val="28"/>
          <w:szCs w:val="28"/>
        </w:rPr>
        <w:t xml:space="preserve"> и хотя в дальнейшем они были вытеснены с повестки дня, но продолжали оставаться бэкграундом региональной политики в Донбассе.</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Более того, даже официально не артикулируемая идея автономии региона продолжала существовать в интеллектуальных кругах и влияла на поведение региональных элит, заинтересованных в получении больших полномочий и финансовых ресурсов.</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lang w:eastAsia="ru-RU"/>
        </w:rPr>
        <w:t>Новый всплеск политической активности в регионе пришелся на  осень и зиму 2004/05 годов, когда президентские выборы, фаворитом которых был дончанин Виктор Янукович, были сорваны в результате так называемой «Оранжевой революции», бывшей по сути государственным переворотом. Произошедшее в Киеве вызвало в Донецке рост протестной активности и в Донбассе н</w:t>
      </w:r>
      <w:r w:rsidRPr="000B6C64">
        <w:rPr>
          <w:rFonts w:ascii="Times New Roman" w:hAnsi="Times New Roman"/>
          <w:sz w:val="28"/>
          <w:szCs w:val="28"/>
        </w:rPr>
        <w:t>ачался массовый стихийный протест против «оранжевой революции». На митинги в поддержку Януковича потянулись люди, наиболее активные из которых начали объединяться в инициативные группы и пытаться что-то делать. На центральной площади города была установлена сцена, и вокруг нее начался перманентный митинг.</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28 ноября 2004 в городе Северодонецк Луганской области состоялся Всеукраинский съезд депутатов всех уровней, собравший представителей элиты юго-восточных областей. Участниками этого форума высказывались </w:t>
      </w:r>
      <w:r>
        <w:rPr>
          <w:rFonts w:ascii="Times New Roman" w:hAnsi="Times New Roman"/>
          <w:sz w:val="28"/>
          <w:szCs w:val="28"/>
        </w:rPr>
        <w:t>предложения</w:t>
      </w:r>
      <w:r w:rsidRPr="000B6C64">
        <w:rPr>
          <w:rFonts w:ascii="Times New Roman" w:hAnsi="Times New Roman"/>
          <w:sz w:val="28"/>
          <w:szCs w:val="28"/>
        </w:rPr>
        <w:t xml:space="preserve"> о необходимости размежевания их регионов с Украиной и откровенные призывы к сепаратизму.</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Глава Донецкого облсовета </w:t>
      </w:r>
      <w:r>
        <w:rPr>
          <w:rFonts w:ascii="Times New Roman" w:hAnsi="Times New Roman"/>
          <w:sz w:val="28"/>
          <w:szCs w:val="28"/>
        </w:rPr>
        <w:t xml:space="preserve">Борис </w:t>
      </w:r>
      <w:r w:rsidRPr="000B6C64">
        <w:rPr>
          <w:rFonts w:ascii="Times New Roman" w:hAnsi="Times New Roman"/>
          <w:sz w:val="28"/>
          <w:szCs w:val="28"/>
        </w:rPr>
        <w:t xml:space="preserve">Колесников прямо предложил создать «новое юго-восточное украинское государство в форме федеративной республики. Столицей нового государства станет Харьков, таким образом, будет восстановлена первая столица независимой Украинской республики».  </w:t>
      </w:r>
      <w:r w:rsidRPr="000A09CB">
        <w:rPr>
          <w:rFonts w:ascii="Times New Roman" w:hAnsi="Times New Roman"/>
          <w:sz w:val="28"/>
          <w:szCs w:val="28"/>
        </w:rPr>
        <w:t xml:space="preserve">[10]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Однако Виктор Янукович обратился к своим сторонникам с просьбой не прибегать к насилию и принят</w:t>
      </w:r>
      <w:r>
        <w:rPr>
          <w:rFonts w:ascii="Times New Roman" w:hAnsi="Times New Roman"/>
          <w:sz w:val="28"/>
          <w:szCs w:val="28"/>
        </w:rPr>
        <w:t>ь решение, которое бы обеспечило</w:t>
      </w:r>
      <w:r w:rsidRPr="000B6C64">
        <w:rPr>
          <w:rFonts w:ascii="Times New Roman" w:hAnsi="Times New Roman"/>
          <w:sz w:val="28"/>
          <w:szCs w:val="28"/>
        </w:rPr>
        <w:t xml:space="preserve"> целостность стране. Эта компромиссная позиция кандидата в президенты заставила основных политически игроков отказаться от требований отделения и начать поиск путей нормализации ситуации в стране путем перераспределения полномочий между высшими чиновниками Украины.  Хотя  Северодонецкий съезд не привел ни к каким радикальным действиям, он дал колоссальный импульс для возрождения и развития донбасского сепаратизма</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 10 января</w:t>
      </w:r>
      <w:r>
        <w:rPr>
          <w:rFonts w:ascii="Times New Roman" w:hAnsi="Times New Roman"/>
          <w:sz w:val="28"/>
          <w:szCs w:val="28"/>
        </w:rPr>
        <w:t xml:space="preserve"> в Донецке</w:t>
      </w:r>
      <w:r w:rsidRPr="000B6C64">
        <w:rPr>
          <w:rFonts w:ascii="Times New Roman" w:hAnsi="Times New Roman"/>
          <w:sz w:val="28"/>
          <w:szCs w:val="28"/>
        </w:rPr>
        <w:t xml:space="preserve"> на площади Ленина</w:t>
      </w:r>
      <w:r>
        <w:rPr>
          <w:rFonts w:ascii="Times New Roman" w:hAnsi="Times New Roman"/>
          <w:sz w:val="28"/>
          <w:szCs w:val="28"/>
        </w:rPr>
        <w:t>,</w:t>
      </w:r>
      <w:r w:rsidRPr="000B6C64">
        <w:rPr>
          <w:rFonts w:ascii="Times New Roman" w:hAnsi="Times New Roman"/>
          <w:sz w:val="28"/>
          <w:szCs w:val="28"/>
        </w:rPr>
        <w:t xml:space="preserve"> в противовес столичному Майдану</w:t>
      </w:r>
      <w:r>
        <w:rPr>
          <w:rFonts w:ascii="Times New Roman" w:hAnsi="Times New Roman"/>
          <w:sz w:val="28"/>
          <w:szCs w:val="28"/>
        </w:rPr>
        <w:t>,</w:t>
      </w:r>
      <w:r w:rsidRPr="000B6C64">
        <w:rPr>
          <w:rFonts w:ascii="Times New Roman" w:hAnsi="Times New Roman"/>
          <w:sz w:val="28"/>
          <w:szCs w:val="28"/>
        </w:rPr>
        <w:t xml:space="preserve"> возник палаточный городок в поддержку Януковича. Со временем городок разросся до 89 палаток и стал центром концентрации всех недовольных горожан. Вслед за Донецком подобные городки возникли во многих городах страны. Казалось, что это начало нового мощного политического движения, должного стать подобием действий ющенковцев, но с противоположным знаком.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Однако находящийся под постоянным моральным прессингом </w:t>
      </w:r>
      <w:r>
        <w:rPr>
          <w:rFonts w:ascii="Times New Roman" w:hAnsi="Times New Roman"/>
          <w:sz w:val="28"/>
          <w:szCs w:val="28"/>
        </w:rPr>
        <w:t xml:space="preserve">Виктор </w:t>
      </w:r>
      <w:r w:rsidRPr="000B6C64">
        <w:rPr>
          <w:rFonts w:ascii="Times New Roman" w:hAnsi="Times New Roman"/>
          <w:sz w:val="28"/>
          <w:szCs w:val="28"/>
        </w:rPr>
        <w:t>Янукович, выигравший перед этим выборы, согласился на проведение переголосования, за время подготовки к которому на сторону оранжевых перешла значительная часть парламентариев и чиновников. В результате президентом стал Виктор Ющенко. 20 января 2005 года Янукович признал свое поражение и призвал сторонников прекратить массовые уличные акции протеста.</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Style w:val="Strong"/>
          <w:rFonts w:ascii="Times New Roman" w:hAnsi="Times New Roman"/>
          <w:b w:val="0"/>
          <w:bCs/>
          <w:sz w:val="28"/>
          <w:szCs w:val="28"/>
        </w:rPr>
      </w:pPr>
      <w:r w:rsidRPr="000B6C64">
        <w:rPr>
          <w:rFonts w:ascii="Times New Roman" w:hAnsi="Times New Roman"/>
          <w:sz w:val="28"/>
          <w:szCs w:val="28"/>
        </w:rPr>
        <w:t xml:space="preserve"> </w:t>
      </w:r>
      <w:r w:rsidRPr="000B6C64">
        <w:rPr>
          <w:rStyle w:val="Strong"/>
          <w:rFonts w:ascii="Times New Roman" w:hAnsi="Times New Roman"/>
          <w:b w:val="0"/>
          <w:bCs/>
          <w:sz w:val="28"/>
          <w:szCs w:val="28"/>
        </w:rPr>
        <w:t>Став  президентом, Виктор Ющенко начал проводить комплексную антирусскую политику. Одним из</w:t>
      </w:r>
      <w:r>
        <w:rPr>
          <w:rStyle w:val="Strong"/>
          <w:rFonts w:ascii="Times New Roman" w:hAnsi="Times New Roman"/>
          <w:b w:val="0"/>
          <w:bCs/>
          <w:sz w:val="28"/>
          <w:szCs w:val="28"/>
        </w:rPr>
        <w:t xml:space="preserve"> главных</w:t>
      </w:r>
      <w:r w:rsidRPr="000B6C64">
        <w:rPr>
          <w:rStyle w:val="Strong"/>
          <w:rFonts w:ascii="Times New Roman" w:hAnsi="Times New Roman"/>
          <w:b w:val="0"/>
          <w:bCs/>
          <w:sz w:val="28"/>
          <w:szCs w:val="28"/>
        </w:rPr>
        <w:t xml:space="preserve"> направлений было переписывание истории в нацистском духе и вытеснение русского языка из всех сфер деятельности на Украине. В абсолютно русскоязычном Донбассе это воспринималось очень болезненно и вызывало сопротивление общественности. Для защиты интересов жителей региона донецкие городской и областной советы приняли решение  о придании русскому языку статуса регионального. Однако эти решения были обжалованы в судебном порядке и отменены.</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 Действия команды Виктора Ющенко привели к появлению в донецком регионе ряда новых и возраждению ранее действовавших политических организаций, ставящих своей целью защиту интересов Донбасса и противодействие украинизации. Среди них можно отметить такие общественные организации как  </w:t>
      </w:r>
      <w:r w:rsidRPr="000B6C64">
        <w:rPr>
          <w:rFonts w:ascii="Times New Roman" w:hAnsi="Times New Roman"/>
          <w:sz w:val="28"/>
          <w:szCs w:val="28"/>
          <w:shd w:val="clear" w:color="auto" w:fill="FFFFFF"/>
        </w:rPr>
        <w:t>«Союз рожденных революцией», «Мы», «Русская община», «Рух пыльных», «Движение за Украину без Ющенко». Политическое выражение протестные настроения нашли в создании</w:t>
      </w:r>
      <w:r w:rsidRPr="000B6C64">
        <w:rPr>
          <w:rFonts w:ascii="Times New Roman" w:hAnsi="Times New Roman"/>
          <w:sz w:val="28"/>
          <w:szCs w:val="28"/>
        </w:rPr>
        <w:t xml:space="preserve"> избирательного блока «Народная оппозиция»,  лидером которого стала Н</w:t>
      </w:r>
      <w:r>
        <w:rPr>
          <w:rFonts w:ascii="Times New Roman" w:hAnsi="Times New Roman"/>
          <w:sz w:val="28"/>
          <w:szCs w:val="28"/>
        </w:rPr>
        <w:t>аталия Витренко, возглавлявшая П</w:t>
      </w:r>
      <w:r w:rsidRPr="000B6C64">
        <w:rPr>
          <w:rFonts w:ascii="Times New Roman" w:hAnsi="Times New Roman"/>
          <w:sz w:val="28"/>
          <w:szCs w:val="28"/>
        </w:rPr>
        <w:t xml:space="preserve">рогрессивно-социалистическую партию (ПСПУ).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На выборах 2006 года «Народная оппозиция» пройти в парламент не смогла, однако в некоторых районах Донецкой области получила до двадцати процентов голосов, став второй по численности депутатов местных советов силой в регионе и уступив только Партии регионов. Это был хороший результат, который мог стать трамплином для дальнейших успехов, однако в 2007 году блок «</w:t>
      </w:r>
      <w:r>
        <w:rPr>
          <w:rFonts w:ascii="Times New Roman" w:hAnsi="Times New Roman"/>
          <w:sz w:val="28"/>
          <w:szCs w:val="28"/>
        </w:rPr>
        <w:t>Н</w:t>
      </w:r>
      <w:r w:rsidRPr="000B6C64">
        <w:rPr>
          <w:rFonts w:ascii="Times New Roman" w:hAnsi="Times New Roman"/>
          <w:sz w:val="28"/>
          <w:szCs w:val="28"/>
        </w:rPr>
        <w:t xml:space="preserve">ародная оппозиция» прекратил свое существование, а сама ПСПУ раскололась. </w:t>
      </w:r>
    </w:p>
    <w:p w:rsidR="00B0574C" w:rsidRPr="0078759E"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Pr>
          <w:rFonts w:ascii="Times New Roman" w:hAnsi="Times New Roman"/>
          <w:sz w:val="28"/>
          <w:szCs w:val="28"/>
        </w:rPr>
        <w:t>Ушедшие из рядов «Н</w:t>
      </w:r>
      <w:r w:rsidRPr="0078759E">
        <w:rPr>
          <w:rFonts w:ascii="Times New Roman" w:hAnsi="Times New Roman"/>
          <w:sz w:val="28"/>
          <w:szCs w:val="28"/>
        </w:rPr>
        <w:t xml:space="preserve">ародной оппозиции» активисты и примкнувшие к ним единомышленники создали в 2007 году общественную организацию «Донбасская Русь», а 25 января 2008 года в Донецком областном совете была создана одноименная депутатская группа под руководством Наталии Билоцерковской. В следующем месяце в Куйбышевском районном в городе Донецке совете было принято решение о создании межфракционной депутатской группы «Донбасская Русь». </w:t>
      </w:r>
    </w:p>
    <w:p w:rsidR="00B0574C" w:rsidRPr="0078759E"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78759E">
        <w:rPr>
          <w:rFonts w:ascii="Times New Roman" w:hAnsi="Times New Roman"/>
          <w:color w:val="000000"/>
          <w:sz w:val="28"/>
          <w:szCs w:val="28"/>
        </w:rPr>
        <w:t>Флагом организации стало красно-сине-черное полотнище с золотой надписью «Донбасская Русь», а символом - восьмиконечная звезда (октограмма) с вписанным в нее словом «Русь».</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Pr>
          <w:rFonts w:ascii="Times New Roman" w:hAnsi="Times New Roman"/>
          <w:sz w:val="28"/>
          <w:szCs w:val="28"/>
        </w:rPr>
        <w:t xml:space="preserve">Помимо Донецкой областной организации «Донбасская Русь», зарегистрированной в установленном порядке как юридическое лицо, были созданы одноименные городские организации в Донецке, Шахтерске, Макеевке, Красноармейске, Зугресе и других населенных пунктах области,  часть из которых которые имели регистрацию в местных органах власти без оформления юридического лица и банковского счета. </w:t>
      </w:r>
    </w:p>
    <w:p w:rsidR="00B0574C"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К числу масштабных мероприятий, регулярно проводимых «Донбасской Русью» относятся такие</w:t>
      </w:r>
      <w:r>
        <w:rPr>
          <w:rFonts w:ascii="Times New Roman" w:hAnsi="Times New Roman"/>
          <w:sz w:val="28"/>
          <w:szCs w:val="28"/>
        </w:rPr>
        <w:t>,</w:t>
      </w:r>
      <w:r w:rsidRPr="000B6C64">
        <w:rPr>
          <w:rFonts w:ascii="Times New Roman" w:hAnsi="Times New Roman"/>
          <w:sz w:val="28"/>
          <w:szCs w:val="28"/>
        </w:rPr>
        <w:t xml:space="preserve"> как акция «Георгиевская лента» (с 2007 года) и «Русский марш» в честь Дня народного единства (проходил ежегодно с 2007 по 2013 годы), «День Донбасса», посвященный годовщине создания Донецко-Криворожской республики, «День русского языка» и т.д.</w:t>
      </w:r>
    </w:p>
    <w:p w:rsidR="00B0574C" w:rsidRDefault="00B0574C" w:rsidP="000B6C64">
      <w:pPr>
        <w:spacing w:line="360" w:lineRule="auto"/>
        <w:ind w:firstLine="709"/>
        <w:jc w:val="both"/>
        <w:rPr>
          <w:rFonts w:ascii="Times New Roman" w:hAnsi="Times New Roman"/>
          <w:sz w:val="28"/>
          <w:szCs w:val="28"/>
        </w:rPr>
      </w:pPr>
      <w:r>
        <w:rPr>
          <w:rFonts w:ascii="Times New Roman" w:hAnsi="Times New Roman"/>
          <w:sz w:val="28"/>
          <w:szCs w:val="28"/>
        </w:rPr>
        <w:t>Согласно данным, предоставленным руководством  «Донбасской Руси» авторам,  активисты областной организации за 2012-2013 годы стали организаторами или участниками организовала 58 мероприятий. В этот перечень не вошли мероприятия городских организаций, спортивного и дискуссионного</w:t>
      </w:r>
      <w:r w:rsidRPr="000D2500">
        <w:rPr>
          <w:rFonts w:ascii="Times New Roman" w:hAnsi="Times New Roman"/>
          <w:sz w:val="28"/>
          <w:szCs w:val="28"/>
        </w:rPr>
        <w:t xml:space="preserve"> </w:t>
      </w:r>
      <w:r>
        <w:rPr>
          <w:rFonts w:ascii="Times New Roman" w:hAnsi="Times New Roman"/>
          <w:sz w:val="28"/>
          <w:szCs w:val="28"/>
        </w:rPr>
        <w:t xml:space="preserve">клубов. Статистика более ранних действий организации на данный момент недоступна для исследований. </w:t>
      </w:r>
    </w:p>
    <w:p w:rsidR="00B0574C" w:rsidRDefault="00B0574C" w:rsidP="000B6C64">
      <w:pPr>
        <w:spacing w:line="360" w:lineRule="auto"/>
        <w:ind w:firstLine="709"/>
        <w:jc w:val="both"/>
        <w:rPr>
          <w:rFonts w:ascii="Times New Roman" w:hAnsi="Times New Roman"/>
          <w:sz w:val="28"/>
          <w:szCs w:val="28"/>
          <w:lang w:val="en-US"/>
        </w:rPr>
      </w:pPr>
      <w:r>
        <w:rPr>
          <w:rFonts w:ascii="Times New Roman" w:hAnsi="Times New Roman"/>
          <w:sz w:val="28"/>
          <w:szCs w:val="28"/>
        </w:rPr>
        <w:t xml:space="preserve">По направлениям деятельности данные мероприятия были распределены следующим образом: </w:t>
      </w:r>
    </w:p>
    <w:p w:rsidR="00B0574C" w:rsidRDefault="00B0574C" w:rsidP="000B6C64">
      <w:pPr>
        <w:spacing w:line="360" w:lineRule="auto"/>
        <w:ind w:firstLine="709"/>
        <w:jc w:val="both"/>
        <w:rPr>
          <w:rFonts w:ascii="Times New Roman" w:hAnsi="Times New Roman"/>
          <w:sz w:val="28"/>
          <w:szCs w:val="28"/>
          <w:lang w:val="en-US"/>
        </w:rPr>
      </w:pPr>
    </w:p>
    <w:p w:rsidR="00B0574C" w:rsidRDefault="00B0574C" w:rsidP="000B6C64">
      <w:pPr>
        <w:spacing w:line="360" w:lineRule="auto"/>
        <w:ind w:firstLine="709"/>
        <w:jc w:val="both"/>
        <w:rPr>
          <w:rFonts w:ascii="Times New Roman" w:hAnsi="Times New Roman"/>
          <w:sz w:val="28"/>
          <w:szCs w:val="28"/>
          <w:lang w:val="en-US"/>
        </w:rPr>
      </w:pPr>
    </w:p>
    <w:p w:rsidR="00B0574C" w:rsidRDefault="00B0574C" w:rsidP="000B6C64">
      <w:pPr>
        <w:spacing w:line="360" w:lineRule="auto"/>
        <w:ind w:firstLine="709"/>
        <w:jc w:val="both"/>
        <w:rPr>
          <w:rFonts w:ascii="Times New Roman" w:hAnsi="Times New Roman"/>
          <w:sz w:val="28"/>
          <w:szCs w:val="28"/>
          <w:lang w:val="en-US"/>
        </w:rPr>
      </w:pPr>
    </w:p>
    <w:p w:rsidR="00B0574C" w:rsidRDefault="00B0574C" w:rsidP="000B6C64">
      <w:pPr>
        <w:spacing w:line="360" w:lineRule="auto"/>
        <w:ind w:firstLine="709"/>
        <w:jc w:val="both"/>
        <w:rPr>
          <w:rFonts w:ascii="Times New Roman" w:hAnsi="Times New Roman"/>
          <w:sz w:val="28"/>
          <w:szCs w:val="28"/>
          <w:lang w:val="en-US"/>
        </w:rPr>
      </w:pPr>
    </w:p>
    <w:p w:rsidR="00B0574C" w:rsidRPr="00CA4CA0" w:rsidRDefault="00B0574C" w:rsidP="000B6C64">
      <w:pPr>
        <w:spacing w:line="360" w:lineRule="auto"/>
        <w:ind w:firstLine="709"/>
        <w:jc w:val="both"/>
        <w:rPr>
          <w:rFonts w:ascii="Times New Roman" w:hAnsi="Times New Roman"/>
          <w:sz w:val="28"/>
          <w:szCs w:val="28"/>
          <w:lang w:val="en-US"/>
        </w:rPr>
      </w:pP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5"/>
        <w:gridCol w:w="1419"/>
      </w:tblGrid>
      <w:tr w:rsidR="00B0574C" w:rsidRPr="00B07C41" w:rsidTr="00B07C41">
        <w:tc>
          <w:tcPr>
            <w:tcW w:w="7905" w:type="dxa"/>
          </w:tcPr>
          <w:p w:rsidR="00B0574C" w:rsidRPr="00B07C41" w:rsidRDefault="00B0574C" w:rsidP="00B07C41">
            <w:pPr>
              <w:spacing w:line="360" w:lineRule="auto"/>
              <w:ind w:firstLine="142"/>
              <w:rPr>
                <w:rFonts w:ascii="Times New Roman" w:hAnsi="Times New Roman"/>
                <w:sz w:val="28"/>
                <w:szCs w:val="28"/>
              </w:rPr>
            </w:pPr>
            <w:r w:rsidRPr="00B07C41">
              <w:rPr>
                <w:rFonts w:ascii="Times New Roman" w:hAnsi="Times New Roman"/>
                <w:sz w:val="28"/>
                <w:szCs w:val="28"/>
              </w:rPr>
              <w:t>Агитационно-информационные мероприятия</w:t>
            </w:r>
          </w:p>
        </w:tc>
        <w:tc>
          <w:tcPr>
            <w:tcW w:w="1419" w:type="dxa"/>
          </w:tcPr>
          <w:p w:rsidR="00B0574C" w:rsidRPr="00B07C41" w:rsidRDefault="00B0574C" w:rsidP="00B07C41">
            <w:pPr>
              <w:tabs>
                <w:tab w:val="center" w:pos="2213"/>
              </w:tabs>
              <w:spacing w:line="360" w:lineRule="auto"/>
              <w:ind w:left="460" w:hanging="460"/>
              <w:jc w:val="center"/>
              <w:rPr>
                <w:rFonts w:ascii="Times New Roman" w:hAnsi="Times New Roman"/>
                <w:sz w:val="28"/>
                <w:szCs w:val="28"/>
              </w:rPr>
            </w:pPr>
            <w:r w:rsidRPr="00B07C41">
              <w:rPr>
                <w:rFonts w:ascii="Times New Roman" w:hAnsi="Times New Roman"/>
                <w:sz w:val="28"/>
                <w:szCs w:val="28"/>
              </w:rPr>
              <w:t>16</w:t>
            </w:r>
          </w:p>
        </w:tc>
      </w:tr>
      <w:tr w:rsidR="00B0574C" w:rsidRPr="00B07C41" w:rsidTr="00B07C41">
        <w:tc>
          <w:tcPr>
            <w:tcW w:w="7905" w:type="dxa"/>
          </w:tcPr>
          <w:p w:rsidR="00B0574C" w:rsidRPr="00B07C41" w:rsidRDefault="00B0574C" w:rsidP="00B07C41">
            <w:pPr>
              <w:spacing w:line="360" w:lineRule="auto"/>
              <w:ind w:firstLine="142"/>
              <w:rPr>
                <w:rFonts w:ascii="Times New Roman" w:hAnsi="Times New Roman"/>
                <w:sz w:val="28"/>
                <w:szCs w:val="28"/>
              </w:rPr>
            </w:pPr>
            <w:r w:rsidRPr="00B07C41">
              <w:rPr>
                <w:rFonts w:ascii="Times New Roman" w:hAnsi="Times New Roman"/>
                <w:sz w:val="28"/>
                <w:szCs w:val="28"/>
              </w:rPr>
              <w:t>Мероприятия, посвященные историческим датам и персонам</w:t>
            </w:r>
          </w:p>
        </w:tc>
        <w:tc>
          <w:tcPr>
            <w:tcW w:w="1419" w:type="dxa"/>
          </w:tcPr>
          <w:p w:rsidR="00B0574C" w:rsidRPr="00B07C41" w:rsidRDefault="00B0574C" w:rsidP="00B07C41">
            <w:pPr>
              <w:spacing w:line="360" w:lineRule="auto"/>
              <w:jc w:val="center"/>
              <w:rPr>
                <w:rFonts w:ascii="Times New Roman" w:hAnsi="Times New Roman"/>
                <w:sz w:val="28"/>
                <w:szCs w:val="28"/>
              </w:rPr>
            </w:pPr>
            <w:r w:rsidRPr="00B07C41">
              <w:rPr>
                <w:rFonts w:ascii="Times New Roman" w:hAnsi="Times New Roman"/>
                <w:sz w:val="28"/>
                <w:szCs w:val="28"/>
              </w:rPr>
              <w:t>11</w:t>
            </w:r>
          </w:p>
        </w:tc>
      </w:tr>
      <w:tr w:rsidR="00B0574C" w:rsidRPr="00B07C41" w:rsidTr="00B07C41">
        <w:tc>
          <w:tcPr>
            <w:tcW w:w="7905" w:type="dxa"/>
          </w:tcPr>
          <w:p w:rsidR="00B0574C" w:rsidRPr="00B07C41" w:rsidRDefault="00B0574C" w:rsidP="00B07C41">
            <w:pPr>
              <w:spacing w:line="360" w:lineRule="auto"/>
              <w:ind w:firstLine="142"/>
              <w:rPr>
                <w:rFonts w:ascii="Times New Roman" w:hAnsi="Times New Roman"/>
                <w:sz w:val="28"/>
                <w:szCs w:val="28"/>
              </w:rPr>
            </w:pPr>
            <w:r w:rsidRPr="00B07C41">
              <w:rPr>
                <w:rFonts w:ascii="Times New Roman" w:hAnsi="Times New Roman"/>
                <w:sz w:val="28"/>
                <w:szCs w:val="28"/>
              </w:rPr>
              <w:t>Политические акции</w:t>
            </w:r>
          </w:p>
        </w:tc>
        <w:tc>
          <w:tcPr>
            <w:tcW w:w="1419" w:type="dxa"/>
          </w:tcPr>
          <w:p w:rsidR="00B0574C" w:rsidRPr="00B07C41" w:rsidRDefault="00B0574C" w:rsidP="00B07C41">
            <w:pPr>
              <w:tabs>
                <w:tab w:val="left" w:pos="1607"/>
              </w:tabs>
              <w:spacing w:line="360" w:lineRule="auto"/>
              <w:jc w:val="center"/>
              <w:rPr>
                <w:rFonts w:ascii="Times New Roman" w:hAnsi="Times New Roman"/>
                <w:sz w:val="28"/>
                <w:szCs w:val="28"/>
              </w:rPr>
            </w:pPr>
            <w:r w:rsidRPr="00B07C41">
              <w:rPr>
                <w:rFonts w:ascii="Times New Roman" w:hAnsi="Times New Roman"/>
                <w:sz w:val="28"/>
                <w:szCs w:val="28"/>
              </w:rPr>
              <w:t>9</w:t>
            </w:r>
          </w:p>
        </w:tc>
      </w:tr>
      <w:tr w:rsidR="00B0574C" w:rsidRPr="00B07C41" w:rsidTr="00B07C41">
        <w:tc>
          <w:tcPr>
            <w:tcW w:w="7905" w:type="dxa"/>
          </w:tcPr>
          <w:p w:rsidR="00B0574C" w:rsidRPr="00B07C41" w:rsidRDefault="00B0574C" w:rsidP="00B07C41">
            <w:pPr>
              <w:spacing w:line="360" w:lineRule="auto"/>
              <w:ind w:firstLine="142"/>
              <w:rPr>
                <w:rFonts w:ascii="Times New Roman" w:hAnsi="Times New Roman"/>
                <w:sz w:val="28"/>
                <w:szCs w:val="28"/>
              </w:rPr>
            </w:pPr>
            <w:r w:rsidRPr="00B07C41">
              <w:rPr>
                <w:rFonts w:ascii="Times New Roman" w:hAnsi="Times New Roman"/>
                <w:sz w:val="28"/>
                <w:szCs w:val="28"/>
              </w:rPr>
              <w:t>Научные мероприятия</w:t>
            </w:r>
          </w:p>
        </w:tc>
        <w:tc>
          <w:tcPr>
            <w:tcW w:w="1419" w:type="dxa"/>
          </w:tcPr>
          <w:p w:rsidR="00B0574C" w:rsidRPr="00B07C41" w:rsidRDefault="00B0574C" w:rsidP="00B07C41">
            <w:pPr>
              <w:spacing w:line="360" w:lineRule="auto"/>
              <w:jc w:val="center"/>
              <w:rPr>
                <w:rFonts w:ascii="Times New Roman" w:hAnsi="Times New Roman"/>
                <w:sz w:val="28"/>
                <w:szCs w:val="28"/>
              </w:rPr>
            </w:pPr>
            <w:r w:rsidRPr="00B07C41">
              <w:rPr>
                <w:rFonts w:ascii="Times New Roman" w:hAnsi="Times New Roman"/>
                <w:sz w:val="28"/>
                <w:szCs w:val="28"/>
              </w:rPr>
              <w:t>10</w:t>
            </w:r>
          </w:p>
        </w:tc>
      </w:tr>
      <w:tr w:rsidR="00B0574C" w:rsidRPr="00B07C41" w:rsidTr="00B07C41">
        <w:tc>
          <w:tcPr>
            <w:tcW w:w="7905" w:type="dxa"/>
          </w:tcPr>
          <w:p w:rsidR="00B0574C" w:rsidRPr="00B07C41" w:rsidRDefault="00B0574C" w:rsidP="00B07C41">
            <w:pPr>
              <w:spacing w:line="360" w:lineRule="auto"/>
              <w:ind w:firstLine="142"/>
              <w:rPr>
                <w:rFonts w:ascii="Times New Roman" w:hAnsi="Times New Roman"/>
                <w:sz w:val="28"/>
                <w:szCs w:val="28"/>
              </w:rPr>
            </w:pPr>
            <w:r w:rsidRPr="00B07C41">
              <w:rPr>
                <w:rFonts w:ascii="Times New Roman" w:hAnsi="Times New Roman"/>
                <w:sz w:val="28"/>
                <w:szCs w:val="28"/>
              </w:rPr>
              <w:t>Столкновения с украинскими националистами</w:t>
            </w:r>
          </w:p>
        </w:tc>
        <w:tc>
          <w:tcPr>
            <w:tcW w:w="1419" w:type="dxa"/>
          </w:tcPr>
          <w:p w:rsidR="00B0574C" w:rsidRPr="00B07C41" w:rsidRDefault="00B0574C" w:rsidP="00B07C41">
            <w:pPr>
              <w:spacing w:line="360" w:lineRule="auto"/>
              <w:jc w:val="center"/>
              <w:rPr>
                <w:rFonts w:ascii="Times New Roman" w:hAnsi="Times New Roman"/>
                <w:sz w:val="28"/>
                <w:szCs w:val="28"/>
              </w:rPr>
            </w:pPr>
            <w:r w:rsidRPr="00B07C41">
              <w:rPr>
                <w:rFonts w:ascii="Times New Roman" w:hAnsi="Times New Roman"/>
                <w:sz w:val="28"/>
                <w:szCs w:val="28"/>
              </w:rPr>
              <w:t>2</w:t>
            </w:r>
          </w:p>
        </w:tc>
      </w:tr>
      <w:tr w:rsidR="00B0574C" w:rsidRPr="00B07C41" w:rsidTr="00B07C41">
        <w:tc>
          <w:tcPr>
            <w:tcW w:w="7905" w:type="dxa"/>
          </w:tcPr>
          <w:p w:rsidR="00B0574C" w:rsidRPr="00B07C41" w:rsidRDefault="00B0574C" w:rsidP="00B07C41">
            <w:pPr>
              <w:spacing w:line="360" w:lineRule="auto"/>
              <w:ind w:firstLine="142"/>
              <w:rPr>
                <w:rFonts w:ascii="Times New Roman" w:hAnsi="Times New Roman"/>
                <w:sz w:val="28"/>
                <w:szCs w:val="28"/>
              </w:rPr>
            </w:pPr>
            <w:r w:rsidRPr="00B07C41">
              <w:rPr>
                <w:rFonts w:ascii="Times New Roman" w:hAnsi="Times New Roman"/>
                <w:sz w:val="28"/>
                <w:szCs w:val="28"/>
              </w:rPr>
              <w:t>Прочие</w:t>
            </w:r>
          </w:p>
        </w:tc>
        <w:tc>
          <w:tcPr>
            <w:tcW w:w="1419" w:type="dxa"/>
          </w:tcPr>
          <w:p w:rsidR="00B0574C" w:rsidRPr="00B07C41" w:rsidRDefault="00B0574C" w:rsidP="00B07C41">
            <w:pPr>
              <w:spacing w:line="360" w:lineRule="auto"/>
              <w:jc w:val="center"/>
              <w:rPr>
                <w:rFonts w:ascii="Times New Roman" w:hAnsi="Times New Roman"/>
                <w:sz w:val="28"/>
                <w:szCs w:val="28"/>
              </w:rPr>
            </w:pPr>
            <w:r w:rsidRPr="00B07C41">
              <w:rPr>
                <w:rFonts w:ascii="Times New Roman" w:hAnsi="Times New Roman"/>
                <w:sz w:val="28"/>
                <w:szCs w:val="28"/>
              </w:rPr>
              <w:t>10</w:t>
            </w:r>
          </w:p>
        </w:tc>
      </w:tr>
    </w:tbl>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 На несколько лет «Донбасская Русь» стала самой активной и многочисленной антиоранжевой прорусской организацией Донбасса. Её члены проводили митинги и выставки, конкурсы школьных сочинений и музыкальные концерты. Большая информационная работа велась в социальных сетях, где создавались и наполнялись соответствующим контентом тематические сообщества разного уровня радикальности [11] </w:t>
      </w:r>
    </w:p>
    <w:p w:rsidR="00B0574C" w:rsidRPr="000B6C64" w:rsidRDefault="00B0574C" w:rsidP="000B6C64">
      <w:pPr>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 Вдобавок «Донбасская Русь» была единственной из числа русских организаций Донецкой области, которая смогла наладить регулярный выпуск собственной газеты, тираж некоторых номеров которой достигал 50 000 экземпляров.</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В 2010 году общественная организация «Донбасская Русь» вошла в состав партии «Русский блок» (РБ). Донецкое областное отделение «Русского блока» существовало с 2002 года, однако находилось в «замороженном» состоянии. После прихода в партию активистов «Донбасской Руси» началась активная политическая деятельность РБ, принимавшего участие в местных выборах 2010 года и парламентских 2012 года.</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Говоря о политических движениях региона, действовавших в оранжевую эпоху, стоит упомянуть организацию «Донецкая республика». Её истоки нужно искать в донецком лагере сторонников</w:t>
      </w:r>
      <w:r>
        <w:rPr>
          <w:rFonts w:ascii="Times New Roman" w:hAnsi="Times New Roman"/>
          <w:sz w:val="28"/>
          <w:szCs w:val="28"/>
        </w:rPr>
        <w:t xml:space="preserve"> В.</w:t>
      </w:r>
      <w:r w:rsidRPr="000B6C64">
        <w:rPr>
          <w:rFonts w:ascii="Times New Roman" w:hAnsi="Times New Roman"/>
          <w:sz w:val="28"/>
          <w:szCs w:val="28"/>
        </w:rPr>
        <w:t xml:space="preserve"> Януковича, возникшем зимой 2004-05 года. Тогда противники </w:t>
      </w:r>
      <w:r>
        <w:rPr>
          <w:rFonts w:ascii="Times New Roman" w:hAnsi="Times New Roman"/>
          <w:sz w:val="28"/>
          <w:szCs w:val="28"/>
        </w:rPr>
        <w:t xml:space="preserve">В. </w:t>
      </w:r>
      <w:r w:rsidRPr="000B6C64">
        <w:rPr>
          <w:rFonts w:ascii="Times New Roman" w:hAnsi="Times New Roman"/>
          <w:sz w:val="28"/>
          <w:szCs w:val="28"/>
        </w:rPr>
        <w:t>Ющенко создали несколько общественных организаций, которые, пережив ряд преобразований, со временем объединились в «Донецкую республику».</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Будучи крайне малочисленной, она, тем не менее, часто оказывалась в центре внимания украинских СМИ. Отчасти это объяснялось тем, что её лидер Александр Цуркан был смертельно болен, а потому абсолютно не боялся идти на конфликты и провокации, а также делать заявления на грани фола. Оранжевые СМИ нашли в этой организации удобный объект для разоблачения «врагов Украины» и сепаратистов. Благо, что поводов для подобных обвинений </w:t>
      </w:r>
      <w:r>
        <w:rPr>
          <w:rFonts w:ascii="Times New Roman" w:hAnsi="Times New Roman"/>
          <w:sz w:val="28"/>
          <w:szCs w:val="28"/>
        </w:rPr>
        <w:t xml:space="preserve">А. </w:t>
      </w:r>
      <w:r w:rsidRPr="000B6C64">
        <w:rPr>
          <w:rFonts w:ascii="Times New Roman" w:hAnsi="Times New Roman"/>
          <w:sz w:val="28"/>
          <w:szCs w:val="28"/>
        </w:rPr>
        <w:t xml:space="preserve">Цуркан давал с избытком. Дополнительную рекламу Донецкой республике сделал президент </w:t>
      </w:r>
      <w:r>
        <w:rPr>
          <w:rFonts w:ascii="Times New Roman" w:hAnsi="Times New Roman"/>
          <w:sz w:val="28"/>
          <w:szCs w:val="28"/>
        </w:rPr>
        <w:t xml:space="preserve">В. </w:t>
      </w:r>
      <w:r w:rsidRPr="000B6C64">
        <w:rPr>
          <w:rFonts w:ascii="Times New Roman" w:hAnsi="Times New Roman"/>
          <w:sz w:val="28"/>
          <w:szCs w:val="28"/>
        </w:rPr>
        <w:t xml:space="preserve">Ющенко, публично потребовавший от СБУ покончить с сепаратистами. Соответственно, Служба безопасности начала «борьбу» с активистами республики, что только способствовало её раскрутке. В итоге, по решению суда регистрация общественной организации «Донецкая республика» была отменена, и она оказалась распущенной. Что не помешало её активистам продолжить свою деятельность.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Существует версия, что в то время «Донецкая республика» являлась одним из проектов Партии Регионов, призванным взять на себя ответственность за те акции, причастность к которым лидеры парламентской партии не хотели афишировать. После того как </w:t>
      </w:r>
      <w:r>
        <w:rPr>
          <w:rFonts w:ascii="Times New Roman" w:hAnsi="Times New Roman"/>
          <w:sz w:val="28"/>
          <w:szCs w:val="28"/>
        </w:rPr>
        <w:t xml:space="preserve">Александр </w:t>
      </w:r>
      <w:r w:rsidRPr="000B6C64">
        <w:rPr>
          <w:rFonts w:ascii="Times New Roman" w:hAnsi="Times New Roman"/>
          <w:sz w:val="28"/>
          <w:szCs w:val="28"/>
        </w:rPr>
        <w:t>Цуркан по состоянию здоровья не смог вести политическую деятельность, а</w:t>
      </w:r>
      <w:r>
        <w:rPr>
          <w:rFonts w:ascii="Times New Roman" w:hAnsi="Times New Roman"/>
          <w:sz w:val="28"/>
          <w:szCs w:val="28"/>
        </w:rPr>
        <w:t xml:space="preserve"> Виктор</w:t>
      </w:r>
      <w:r w:rsidRPr="000B6C64">
        <w:rPr>
          <w:rFonts w:ascii="Times New Roman" w:hAnsi="Times New Roman"/>
          <w:sz w:val="28"/>
          <w:szCs w:val="28"/>
        </w:rPr>
        <w:t xml:space="preserve"> Янукович стал президентом (а донецким политикам больше не нужно было подогревать недовольство населения украинской властью), активность «Донецк</w:t>
      </w:r>
      <w:r>
        <w:rPr>
          <w:rFonts w:ascii="Times New Roman" w:hAnsi="Times New Roman"/>
          <w:sz w:val="28"/>
          <w:szCs w:val="28"/>
        </w:rPr>
        <w:t>ой республики» резко снизилась.</w:t>
      </w:r>
      <w:r w:rsidRPr="000B6C64">
        <w:rPr>
          <w:rFonts w:ascii="Times New Roman" w:hAnsi="Times New Roman"/>
          <w:sz w:val="28"/>
          <w:szCs w:val="28"/>
        </w:rPr>
        <w:t xml:space="preserve"> Однако новый лидер организации Андрей Пургин сумел собрать вокруг себя нескольких активистов, которые продолжили пропаганду своих идей в интернете. Одновременно республиканцы принялись устанавливать контакты с представителями различных российских патриотических организаций от ультраправых до евразийцев, представляя себя как наиболее последовательну</w:t>
      </w:r>
      <w:r>
        <w:rPr>
          <w:rFonts w:ascii="Times New Roman" w:hAnsi="Times New Roman"/>
          <w:sz w:val="28"/>
          <w:szCs w:val="28"/>
        </w:rPr>
        <w:t>ю прорусскую силу региона</w:t>
      </w:r>
      <w:r w:rsidRPr="000B6C64">
        <w:rPr>
          <w:rFonts w:ascii="Times New Roman" w:hAnsi="Times New Roman"/>
          <w:sz w:val="28"/>
          <w:szCs w:val="28"/>
        </w:rPr>
        <w:t xml:space="preserve">.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Весной 2013 года «Донецкая республика» смогла провести первую после долгого перерыва громкую уличную акцию, попытавшись сорвать встречу донецких блоггеров с американским послом. [</w:t>
      </w:r>
      <w:r w:rsidRPr="000C032B">
        <w:rPr>
          <w:rFonts w:ascii="Times New Roman" w:hAnsi="Times New Roman"/>
          <w:sz w:val="28"/>
          <w:szCs w:val="28"/>
        </w:rPr>
        <w:t>8</w:t>
      </w:r>
      <w:r w:rsidRPr="000B6C64">
        <w:rPr>
          <w:rFonts w:ascii="Times New Roman" w:hAnsi="Times New Roman"/>
          <w:sz w:val="28"/>
          <w:szCs w:val="28"/>
        </w:rPr>
        <w:t>]</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Подводя итог, можно сказать что «Донбасская Русь» и «Донецкая республика» в этот период были наиболее активными организациями, имевшими схожую символику и совпадающие взгляды по многим вопросам. Однако были и значительные различия. Так, «Донбасская Русь» специализировалась в большей мере на информационно-аналитической, юридической и просветительской работе, активно проводила различные образовательные проекты, выпускала тематические книги и массовые печатные издания. «Донецкая республика» больше прославилась своими эпатажными уличными акциями. Кроме того, идеология «Донбасской Руси» основывалась на идее единства Русского Мира, органичной частью которого является Донбасс. Республиканцы же отличались большей донбассоцентричностью и акцентировали внимание на необходимости ухода региона из-под власти Киева.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После отставки</w:t>
      </w:r>
      <w:r>
        <w:rPr>
          <w:rFonts w:ascii="Times New Roman" w:hAnsi="Times New Roman"/>
          <w:sz w:val="28"/>
          <w:szCs w:val="28"/>
        </w:rPr>
        <w:t xml:space="preserve"> Виктора</w:t>
      </w:r>
      <w:r w:rsidRPr="000B6C64">
        <w:rPr>
          <w:rFonts w:ascii="Times New Roman" w:hAnsi="Times New Roman"/>
          <w:sz w:val="28"/>
          <w:szCs w:val="28"/>
        </w:rPr>
        <w:t xml:space="preserve"> Ющенко общественная активность в Донбассе снизилась, большинство антиоранжевых организаций, выполнив свои функции, де-факто перестали существовать.  Среди продолживших свою деятельность организаций можно назвать «Русский Блок», «Донбасскую Русь», «Русско-украинский союз» и ПСПУ.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В 2011 году была зарегистрирована и начала действовать новая общественная организация «Союз граждан Украины» (СГУ), выступающая за  объединение постсоветского пространства и являющаяся дочерней структурой российского движения «Профсоюз граждан». В Донецкой области отделение СГУ вело просветительскую работу путем проведения массовых и культурно-образовательных мероприятий. Одним из приоритетов в деятельности этой организации стала популяризация идеи вступления Украины в Таможенный Союз с Россией, Беларусью и Казахстаном. Многие акции СГУ проводились совместно с активистами Русского Блока и Донбасской Руси.</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В период 2010-2013 года у прорусских организаций региона на второй план отошла работа по противодействию украинскому национализму, а на первый выдвинулась деятельность по интеграции региона и страны в Евразийские экономические и политические структуры.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На это же время приходится и серьезный практический шаг по интеграции Донбасса и России в виде создания международной ассоциации «Еврорегион Донбасс», объединя</w:t>
      </w:r>
      <w:r>
        <w:rPr>
          <w:rFonts w:ascii="Times New Roman" w:hAnsi="Times New Roman"/>
          <w:sz w:val="28"/>
          <w:szCs w:val="28"/>
        </w:rPr>
        <w:t>вш</w:t>
      </w:r>
      <w:r w:rsidRPr="000B6C64">
        <w:rPr>
          <w:rFonts w:ascii="Times New Roman" w:hAnsi="Times New Roman"/>
          <w:sz w:val="28"/>
          <w:szCs w:val="28"/>
        </w:rPr>
        <w:t>ий Донецкую и Луганскую области Украины, а также Курскую и Ростовскую области Российской Федерации.</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В 2012 году действующими на территории Еврорегиона общественными организациями была создана гражданская инициатива «Донбасс за Евразийский Союз», направленная на содействие будущему вхождению Украины в состав Евразийского Союза. </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В этот момент Украина стояла перед выбором: присоединиться к Таможенному союзу ЕврАзЭс либо вступить в зону свободной торговли с Европейским Союзом. Естественно, прорусские общественные организации вели работу по пропаганде первого варианта, которая заключалась в проведении агитационных встреч, круглых столов, написании статей с обоснованием выгодности такого решения для региона и страны в целом.</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Евроинтеграционный поворот во внешней политике Украины, осуществленный Виктором Януковичем, и предполагаемое в конце 2013 года подписание </w:t>
      </w:r>
      <w:r>
        <w:rPr>
          <w:rFonts w:ascii="Times New Roman" w:hAnsi="Times New Roman"/>
          <w:sz w:val="28"/>
          <w:szCs w:val="28"/>
        </w:rPr>
        <w:t>Д</w:t>
      </w:r>
      <w:r w:rsidRPr="000B6C64">
        <w:rPr>
          <w:rFonts w:ascii="Times New Roman" w:hAnsi="Times New Roman"/>
          <w:sz w:val="28"/>
          <w:szCs w:val="28"/>
        </w:rPr>
        <w:t xml:space="preserve">оговора о </w:t>
      </w:r>
      <w:r>
        <w:rPr>
          <w:rFonts w:ascii="Times New Roman" w:hAnsi="Times New Roman"/>
          <w:sz w:val="28"/>
          <w:szCs w:val="28"/>
        </w:rPr>
        <w:t>з</w:t>
      </w:r>
      <w:r w:rsidRPr="000B6C64">
        <w:rPr>
          <w:rFonts w:ascii="Times New Roman" w:hAnsi="Times New Roman"/>
          <w:sz w:val="28"/>
          <w:szCs w:val="28"/>
        </w:rPr>
        <w:t>оне свободной торговли с ЕС вызвал разочарование  как у активистов общественных организаций региона, так и у представителей  местного бизнеса.</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 xml:space="preserve">В результате в ноябре 2013 года Виктор Янукович отказался от подписания договора с Евросоюзом, что </w:t>
      </w:r>
      <w:r>
        <w:rPr>
          <w:rFonts w:ascii="Times New Roman" w:hAnsi="Times New Roman"/>
          <w:sz w:val="28"/>
          <w:szCs w:val="28"/>
        </w:rPr>
        <w:t>стало причиной возникновения</w:t>
      </w:r>
      <w:r w:rsidRPr="000B6C64">
        <w:rPr>
          <w:rFonts w:ascii="Times New Roman" w:hAnsi="Times New Roman"/>
          <w:sz w:val="28"/>
          <w:szCs w:val="28"/>
        </w:rPr>
        <w:t xml:space="preserve"> массовых уличных акций, получивших название «Евромайдан», начатых  21 ноября украинскими правыми партиями в Киеве. В ответ в Донецке начались акции «Антимайдан», первой из которых стал митинг «Русского блока» у стен </w:t>
      </w:r>
      <w:r>
        <w:rPr>
          <w:rFonts w:ascii="Times New Roman" w:hAnsi="Times New Roman"/>
          <w:sz w:val="28"/>
          <w:szCs w:val="28"/>
        </w:rPr>
        <w:t>О</w:t>
      </w:r>
      <w:r w:rsidRPr="000B6C64">
        <w:rPr>
          <w:rFonts w:ascii="Times New Roman" w:hAnsi="Times New Roman"/>
          <w:sz w:val="28"/>
          <w:szCs w:val="28"/>
        </w:rPr>
        <w:t>бластного совета 26 ноября</w:t>
      </w:r>
      <w:r>
        <w:rPr>
          <w:rFonts w:ascii="Times New Roman" w:hAnsi="Times New Roman"/>
          <w:sz w:val="28"/>
          <w:szCs w:val="28"/>
        </w:rPr>
        <w:t>, а</w:t>
      </w:r>
      <w:r w:rsidRPr="000B6C64">
        <w:rPr>
          <w:rFonts w:ascii="Times New Roman" w:hAnsi="Times New Roman"/>
          <w:sz w:val="28"/>
          <w:szCs w:val="28"/>
        </w:rPr>
        <w:t xml:space="preserve"> 4 декабря около пятнадцати тысяч человек пришли к зданию Донецкой областной госадминистрации на митинг против майдана и в поддержку президента Украины Виктора Януковича. Организатором выступила Партия Регионов, собравшая</w:t>
      </w:r>
      <w:r>
        <w:rPr>
          <w:rFonts w:ascii="Times New Roman" w:hAnsi="Times New Roman"/>
          <w:sz w:val="28"/>
          <w:szCs w:val="28"/>
        </w:rPr>
        <w:t xml:space="preserve"> своих членов со всей области. В этой акции т</w:t>
      </w:r>
      <w:r w:rsidRPr="000B6C64">
        <w:rPr>
          <w:rFonts w:ascii="Times New Roman" w:hAnsi="Times New Roman"/>
          <w:sz w:val="28"/>
          <w:szCs w:val="28"/>
        </w:rPr>
        <w:t>акже участвовали представители профсоюзов</w:t>
      </w:r>
      <w:r>
        <w:rPr>
          <w:rFonts w:ascii="Times New Roman" w:hAnsi="Times New Roman"/>
          <w:sz w:val="28"/>
          <w:szCs w:val="28"/>
        </w:rPr>
        <w:t>, ряда общественных организаций,</w:t>
      </w:r>
      <w:r w:rsidRPr="000B6C64">
        <w:rPr>
          <w:rFonts w:ascii="Times New Roman" w:hAnsi="Times New Roman"/>
          <w:sz w:val="28"/>
          <w:szCs w:val="28"/>
        </w:rPr>
        <w:t xml:space="preserve"> партии «Русский Блок». Затем 7 декабря состоялась объединенная акция организаций «Славянское единство», «Союз граждан Украины», «Донецкая республика», «Донбасская Русь» и партии «Русский блок».</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B6C64">
        <w:rPr>
          <w:rFonts w:ascii="Times New Roman" w:hAnsi="Times New Roman"/>
          <w:sz w:val="28"/>
          <w:szCs w:val="28"/>
        </w:rPr>
        <w:t>Вместе с ростом напряжения на Украине уличные акции в Донбассе становились все более частыми, многочисленными, а требования участников радикализировались. При этом актив различных прорусских общественных организаций стал костяком начинающегося массового движения, вылившегося в провозглашение независимости Донецкой Народной республики.</w:t>
      </w:r>
    </w:p>
    <w:p w:rsidR="00B0574C"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lang w:val="en-US"/>
        </w:rPr>
      </w:pPr>
      <w:r w:rsidRPr="000B6C64">
        <w:rPr>
          <w:rFonts w:ascii="Times New Roman" w:hAnsi="Times New Roman"/>
          <w:sz w:val="28"/>
          <w:szCs w:val="28"/>
        </w:rPr>
        <w:t>Таким образом, можно сделать вывод о неслучайности событий «Русской весны». Идеи донбасского сепаратизма и воссоединения с Россией имеют в регионе давнюю историю, и уход</w:t>
      </w:r>
      <w:r>
        <w:rPr>
          <w:rFonts w:ascii="Times New Roman" w:hAnsi="Times New Roman"/>
          <w:sz w:val="28"/>
          <w:szCs w:val="28"/>
        </w:rPr>
        <w:t>я</w:t>
      </w:r>
      <w:r w:rsidRPr="000B6C64">
        <w:rPr>
          <w:rFonts w:ascii="Times New Roman" w:hAnsi="Times New Roman"/>
          <w:sz w:val="28"/>
          <w:szCs w:val="28"/>
        </w:rPr>
        <w:t xml:space="preserve">т корнями к моменту обретения независимости Украиной. Все годы после распада СССР в Донбассе действовали общественно-политические организации соответствующего направления. Именно в результате их деятельности стало возможно провозглашение независимости, хотя спусковым крючком этого процесса стали действия украинских националистов, захвативших власть </w:t>
      </w:r>
      <w:r>
        <w:rPr>
          <w:rFonts w:ascii="Times New Roman" w:hAnsi="Times New Roman"/>
          <w:sz w:val="28"/>
          <w:szCs w:val="28"/>
        </w:rPr>
        <w:t>в</w:t>
      </w:r>
      <w:r w:rsidRPr="000B6C64">
        <w:rPr>
          <w:rFonts w:ascii="Times New Roman" w:hAnsi="Times New Roman"/>
          <w:sz w:val="28"/>
          <w:szCs w:val="28"/>
        </w:rPr>
        <w:t xml:space="preserve"> стран</w:t>
      </w:r>
      <w:r>
        <w:rPr>
          <w:rFonts w:ascii="Times New Roman" w:hAnsi="Times New Roman"/>
          <w:sz w:val="28"/>
          <w:szCs w:val="28"/>
        </w:rPr>
        <w:t>е</w:t>
      </w:r>
      <w:r w:rsidRPr="000B6C64">
        <w:rPr>
          <w:rFonts w:ascii="Times New Roman" w:hAnsi="Times New Roman"/>
          <w:sz w:val="28"/>
          <w:szCs w:val="28"/>
        </w:rPr>
        <w:t xml:space="preserve"> в результате Евромайдана и начавших силовую операцию по усмирению Донбасса.</w:t>
      </w:r>
    </w:p>
    <w:p w:rsidR="00B0574C" w:rsidRPr="000B6C64" w:rsidRDefault="00B0574C" w:rsidP="000B6C6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lang w:val="en-US"/>
        </w:rPr>
      </w:pPr>
    </w:p>
    <w:p w:rsidR="00B0574C" w:rsidRPr="000B6C64" w:rsidRDefault="00B0574C" w:rsidP="000B6C64">
      <w:pPr>
        <w:ind w:firstLine="709"/>
        <w:jc w:val="center"/>
        <w:rPr>
          <w:rFonts w:ascii="Times New Roman" w:hAnsi="Times New Roman"/>
          <w:b/>
          <w:sz w:val="24"/>
          <w:szCs w:val="24"/>
        </w:rPr>
      </w:pPr>
      <w:r w:rsidRPr="000B6C64">
        <w:rPr>
          <w:rFonts w:ascii="Times New Roman" w:hAnsi="Times New Roman"/>
          <w:sz w:val="28"/>
          <w:szCs w:val="28"/>
        </w:rPr>
        <w:t xml:space="preserve"> </w:t>
      </w:r>
      <w:r w:rsidRPr="000B6C64">
        <w:rPr>
          <w:rFonts w:ascii="Times New Roman" w:hAnsi="Times New Roman"/>
          <w:b/>
          <w:sz w:val="24"/>
          <w:szCs w:val="24"/>
        </w:rPr>
        <w:t>Список литературы</w:t>
      </w:r>
    </w:p>
    <w:p w:rsidR="00B0574C" w:rsidRPr="000B6C64" w:rsidRDefault="00B0574C" w:rsidP="000B6C64">
      <w:pPr>
        <w:ind w:firstLine="709"/>
        <w:jc w:val="center"/>
        <w:rPr>
          <w:rFonts w:ascii="Times New Roman" w:hAnsi="Times New Roman"/>
          <w:b/>
          <w:sz w:val="24"/>
          <w:szCs w:val="24"/>
        </w:rPr>
      </w:pPr>
    </w:p>
    <w:p w:rsidR="00B0574C" w:rsidRPr="000B6C64" w:rsidRDefault="00B0574C" w:rsidP="000B6C64">
      <w:pPr>
        <w:pStyle w:val="ListParagraph"/>
        <w:numPr>
          <w:ilvl w:val="0"/>
          <w:numId w:val="3"/>
        </w:numPr>
        <w:ind w:left="0" w:firstLine="709"/>
        <w:jc w:val="both"/>
      </w:pPr>
      <w:r w:rsidRPr="000B6C64">
        <w:t>Бунтовский С.Ю. Роль казачества в колонизации Донбасса / Бунтовский С.Ю. // Политическое и социально-экономическое развитие Юга России: история, современность, перспективы развития: сборник научных статей международной научно-практической конференции / под ред. В.П. Басенко, В.П. Зайкова. [Электронное издание]. Моск. ун-т им. С.Ю. Витте; ф-л Моск. ун-та им. С.Ю. Витте в г. Краснодаре. М.: изд. ЧОУВО «МУ им. С.Ю. Витте», 2015.</w:t>
      </w:r>
    </w:p>
    <w:p w:rsidR="00B0574C" w:rsidRPr="000B6C64" w:rsidRDefault="00B0574C" w:rsidP="000B6C64">
      <w:pPr>
        <w:pStyle w:val="ListParagraph"/>
        <w:numPr>
          <w:ilvl w:val="0"/>
          <w:numId w:val="3"/>
        </w:numPr>
        <w:shd w:val="clear" w:color="auto" w:fill="FFFFFF"/>
        <w:ind w:left="0" w:firstLine="709"/>
        <w:jc w:val="both"/>
      </w:pPr>
      <w:r w:rsidRPr="000B6C64">
        <w:t>Заявление Центрального Совета: Интердвижение не хочет нового Карабаха</w:t>
      </w:r>
      <w:r w:rsidRPr="000B6C64">
        <w:rPr>
          <w:rStyle w:val="apple-converted-space"/>
        </w:rPr>
        <w:t> </w:t>
      </w:r>
      <w:r w:rsidRPr="000B6C64">
        <w:t> // Первая линия. – 1991, 30 ноября.</w:t>
      </w:r>
    </w:p>
    <w:p w:rsidR="00B0574C" w:rsidRPr="000B6C64" w:rsidRDefault="00B0574C" w:rsidP="000B6C64">
      <w:pPr>
        <w:pStyle w:val="ListParagraph"/>
        <w:numPr>
          <w:ilvl w:val="0"/>
          <w:numId w:val="3"/>
        </w:numPr>
        <w:ind w:left="0" w:firstLine="709"/>
        <w:jc w:val="both"/>
      </w:pPr>
      <w:r w:rsidRPr="000B6C64">
        <w:t>Иванов А.А., Донбасс: Русь и Украина. / Иванов А.А., Бунтовский С.Ю. //  Донецк, «Цифровая типография», 2013. – 238 с. - [Электронный ресурс]. Адрес доступа: http://knigotopia.ru/book/item/1984/</w:t>
      </w:r>
    </w:p>
    <w:p w:rsidR="00B0574C" w:rsidRPr="000B6C64" w:rsidRDefault="00B0574C" w:rsidP="000B6C64">
      <w:pPr>
        <w:pStyle w:val="ListParagraph"/>
        <w:numPr>
          <w:ilvl w:val="0"/>
          <w:numId w:val="3"/>
        </w:numPr>
        <w:shd w:val="clear" w:color="auto" w:fill="FFFFFF"/>
        <w:ind w:left="0" w:firstLine="709"/>
        <w:jc w:val="both"/>
      </w:pPr>
      <w:r w:rsidRPr="000B6C64">
        <w:t xml:space="preserve">Иванов Н., Мамутов В., Прокопенко Н. Как предотвратить национальный конфликт? // Жизнь. – 1991, 2 сентября.  </w:t>
      </w:r>
    </w:p>
    <w:p w:rsidR="00B0574C" w:rsidRPr="000B6C64" w:rsidRDefault="00B0574C" w:rsidP="000B6C64">
      <w:pPr>
        <w:pStyle w:val="ListParagraph"/>
        <w:numPr>
          <w:ilvl w:val="0"/>
          <w:numId w:val="3"/>
        </w:numPr>
        <w:ind w:left="0" w:firstLine="709"/>
        <w:jc w:val="both"/>
      </w:pPr>
      <w:r w:rsidRPr="000B6C64">
        <w:t>Т.В. Болбат. Проблема государственного устройства Украины в деятельности общественных организаций Донбасса в начале 1990-х гг. - [Электронный ресурс]. Адрес доступа: http://yadocent.livejournal.com/88158.html</w:t>
      </w:r>
    </w:p>
    <w:p w:rsidR="00B0574C" w:rsidRPr="000B6C64" w:rsidRDefault="00B0574C" w:rsidP="000B6C64">
      <w:pPr>
        <w:pStyle w:val="ListParagraph"/>
        <w:numPr>
          <w:ilvl w:val="0"/>
          <w:numId w:val="3"/>
        </w:numPr>
        <w:ind w:left="0" w:firstLine="709"/>
        <w:jc w:val="both"/>
      </w:pPr>
      <w:r w:rsidRPr="000B6C64">
        <w:t>Гребенюк С. Федеративная земля Донбасс? // Первая линия. – 1991, 12 октября.</w:t>
      </w:r>
    </w:p>
    <w:p w:rsidR="00B0574C" w:rsidRPr="000B6C64" w:rsidRDefault="00B0574C" w:rsidP="000B6C64">
      <w:pPr>
        <w:pStyle w:val="ListParagraph"/>
        <w:numPr>
          <w:ilvl w:val="0"/>
          <w:numId w:val="3"/>
        </w:numPr>
        <w:ind w:left="0" w:firstLine="709"/>
        <w:jc w:val="both"/>
      </w:pPr>
      <w:r w:rsidRPr="000B6C64">
        <w:t>Позднышев В. Для конфронтации нет причин // Вечерний Донецк. – 1991, 29 октября.</w:t>
      </w:r>
    </w:p>
    <w:p w:rsidR="00B0574C" w:rsidRPr="000B6C64" w:rsidRDefault="00B0574C" w:rsidP="000B6C64">
      <w:pPr>
        <w:pStyle w:val="ListParagraph"/>
        <w:numPr>
          <w:ilvl w:val="0"/>
          <w:numId w:val="3"/>
        </w:numPr>
        <w:ind w:left="0" w:firstLine="709"/>
        <w:jc w:val="both"/>
      </w:pPr>
      <w:r w:rsidRPr="000B6C64">
        <w:t>Бунтовский С.Ю. История Донбасса. / С.Ю. Бунтовский. // Донецк, Изд-во «Донбасская Русь», 2015. - 402 с. - [Электронный ресурс]. Адрес доступа: http://knigotopia.ru/book/item/5204/</w:t>
      </w:r>
    </w:p>
    <w:p w:rsidR="00B0574C" w:rsidRPr="000B6C64" w:rsidRDefault="00B0574C" w:rsidP="000B6C64">
      <w:pPr>
        <w:pStyle w:val="ListParagraph"/>
        <w:numPr>
          <w:ilvl w:val="0"/>
          <w:numId w:val="3"/>
        </w:numPr>
        <w:ind w:left="0" w:firstLine="709"/>
        <w:jc w:val="both"/>
        <w:rPr>
          <w:shd w:val="clear" w:color="auto" w:fill="FFFFFF"/>
        </w:rPr>
      </w:pPr>
      <w:r w:rsidRPr="000B6C64">
        <w:rPr>
          <w:shd w:val="clear" w:color="auto" w:fill="FFFFFF"/>
        </w:rPr>
        <w:t>Туровский</w:t>
      </w:r>
      <w:r w:rsidRPr="000B6C64">
        <w:rPr>
          <w:bCs/>
          <w:iCs/>
          <w:shd w:val="clear" w:color="auto" w:fill="FFFFFF"/>
        </w:rPr>
        <w:t xml:space="preserve"> </w:t>
      </w:r>
      <w:r w:rsidRPr="000B6C64">
        <w:rPr>
          <w:shd w:val="clear" w:color="auto" w:fill="FFFFFF"/>
        </w:rPr>
        <w:t>Р.Ф.</w:t>
      </w:r>
      <w:r>
        <w:rPr>
          <w:shd w:val="clear" w:color="auto" w:fill="FFFFFF"/>
        </w:rPr>
        <w:t xml:space="preserve"> </w:t>
      </w:r>
      <w:r w:rsidRPr="000B6C64">
        <w:rPr>
          <w:bCs/>
          <w:iCs/>
          <w:shd w:val="clear" w:color="auto" w:fill="FFFFFF"/>
        </w:rPr>
        <w:t xml:space="preserve">Современная украинская государственность региональные геополитические аспекты. // </w:t>
      </w:r>
      <w:r w:rsidRPr="000B6C64">
        <w:rPr>
          <w:shd w:val="clear" w:color="auto" w:fill="FFFFFF"/>
        </w:rPr>
        <w:t>Р.Ф.Туровский</w:t>
      </w:r>
      <w:r w:rsidRPr="000B6C64">
        <w:rPr>
          <w:bCs/>
          <w:iCs/>
          <w:shd w:val="clear" w:color="auto" w:fill="FFFFFF"/>
        </w:rPr>
        <w:t xml:space="preserve"> МГУ им. М.В.Ломоносова, Москва. </w:t>
      </w:r>
      <w:r w:rsidRPr="000B6C64">
        <w:t xml:space="preserve">- [Электронный ресурс]. Адрес доступа: </w:t>
      </w:r>
      <w:hyperlink r:id="rId7" w:history="1">
        <w:r w:rsidRPr="000B6C64">
          <w:rPr>
            <w:rStyle w:val="Hyperlink"/>
            <w:color w:val="auto"/>
            <w:shd w:val="clear" w:color="auto" w:fill="FFFFFF"/>
          </w:rPr>
          <w:t>http://www.f-mx.ru/geografiya_i_geologiya/diplom_sovremennaya_ukrainskaya.html</w:t>
        </w:r>
      </w:hyperlink>
      <w:r w:rsidRPr="000B6C64">
        <w:rPr>
          <w:shd w:val="clear" w:color="auto" w:fill="FFFFFF"/>
        </w:rPr>
        <w:t xml:space="preserve"> </w:t>
      </w:r>
    </w:p>
    <w:p w:rsidR="00B0574C" w:rsidRPr="000B6C64" w:rsidRDefault="00B0574C" w:rsidP="000B6C64">
      <w:pPr>
        <w:pStyle w:val="NormalWeb"/>
        <w:numPr>
          <w:ilvl w:val="0"/>
          <w:numId w:val="3"/>
        </w:numPr>
        <w:shd w:val="clear" w:color="auto" w:fill="FFFFFF"/>
        <w:spacing w:before="0" w:beforeAutospacing="0" w:after="0" w:afterAutospacing="0"/>
        <w:ind w:left="0" w:firstLine="709"/>
        <w:jc w:val="both"/>
      </w:pPr>
      <w:r w:rsidRPr="000B6C64">
        <w:t xml:space="preserve">25 лет донбасского сепаратизма. // Реальная газета 24.03.2016 - [Электронный ресурс]. Адрес доступа: </w:t>
      </w:r>
      <w:hyperlink r:id="rId8" w:history="1">
        <w:r w:rsidRPr="000B6C64">
          <w:rPr>
            <w:rStyle w:val="Hyperlink"/>
            <w:color w:val="auto"/>
          </w:rPr>
          <w:t>http://realgazeta.com.ua/25-let-donbasskogo-separatizma_-chast-vtoraya/</w:t>
        </w:r>
      </w:hyperlink>
    </w:p>
    <w:p w:rsidR="00B0574C" w:rsidRPr="000B6C64" w:rsidRDefault="00B0574C" w:rsidP="000B6C64">
      <w:pPr>
        <w:pStyle w:val="ListParagraph"/>
        <w:numPr>
          <w:ilvl w:val="0"/>
          <w:numId w:val="3"/>
        </w:numPr>
        <w:ind w:left="0" w:firstLine="709"/>
        <w:jc w:val="both"/>
      </w:pPr>
      <w:r w:rsidRPr="000B6C64">
        <w:t>Бунтовский С.Ю., Немирский А.С. Использование социальных сетей для формирования сепаратистских настроений // Актуальные проблемы науки и образования. – № 2 (2). – М.:  Издательство «Алмаз-Проф», 2016. - С. 26-33</w:t>
      </w:r>
    </w:p>
    <w:p w:rsidR="00B0574C" w:rsidRPr="000B6C64" w:rsidRDefault="00B0574C" w:rsidP="000B6C64">
      <w:pPr>
        <w:ind w:firstLine="709"/>
        <w:rPr>
          <w:sz w:val="24"/>
          <w:szCs w:val="24"/>
        </w:rPr>
      </w:pPr>
      <w:r w:rsidRPr="000B6C64">
        <w:rPr>
          <w:sz w:val="24"/>
          <w:szCs w:val="24"/>
        </w:rPr>
        <w:t xml:space="preserve"> </w:t>
      </w:r>
    </w:p>
    <w:p w:rsidR="00B0574C" w:rsidRPr="000B6C64" w:rsidRDefault="00B0574C" w:rsidP="000B6C64">
      <w:pPr>
        <w:ind w:firstLine="567"/>
        <w:jc w:val="center"/>
        <w:rPr>
          <w:rFonts w:ascii="Times New Roman" w:hAnsi="Times New Roman"/>
          <w:b/>
          <w:sz w:val="24"/>
          <w:szCs w:val="24"/>
        </w:rPr>
      </w:pPr>
      <w:r w:rsidRPr="000B6C64">
        <w:rPr>
          <w:rFonts w:ascii="Times New Roman" w:hAnsi="Times New Roman"/>
          <w:b/>
          <w:sz w:val="24"/>
          <w:szCs w:val="24"/>
        </w:rPr>
        <w:t>References</w:t>
      </w:r>
    </w:p>
    <w:p w:rsidR="00B0574C" w:rsidRPr="000B6C64" w:rsidRDefault="00B0574C" w:rsidP="000B6C64">
      <w:pPr>
        <w:ind w:firstLine="709"/>
        <w:jc w:val="center"/>
        <w:rPr>
          <w:sz w:val="24"/>
          <w:szCs w:val="24"/>
        </w:rPr>
      </w:pP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rPr>
        <w:t>1.</w:t>
      </w:r>
      <w:r w:rsidRPr="000B6C64">
        <w:rPr>
          <w:rFonts w:ascii="Times New Roman" w:hAnsi="Times New Roman"/>
          <w:sz w:val="24"/>
          <w:szCs w:val="24"/>
        </w:rPr>
        <w:tab/>
        <w:t xml:space="preserve">Buntovskij S.Ju. Rol' kazachestva v kolonizacii Donbassa / Buntovskij S.Ju. // Politicheskoe i social'no-jekonomicheskoe razvitie Juga Rossii: istorija, sovremennost', perspektivy razvitija: sbornik nauchnyh statej mezhdunarodnoj nauchno-prakticheskoj konferencii / pod red. </w:t>
      </w:r>
      <w:r w:rsidRPr="000B6C64">
        <w:rPr>
          <w:rFonts w:ascii="Times New Roman" w:hAnsi="Times New Roman"/>
          <w:sz w:val="24"/>
          <w:szCs w:val="24"/>
          <w:lang w:val="en-US"/>
        </w:rPr>
        <w:t>V.P. Basenko, V.P. Zajkova. [Jelektronnoe izdanie]. Mosk. un-t im. S.Ju. Vitte; f-l Mosk. un-ta im. S.Ju. Vitte v g. Krasnodare. M.: izd. ChOUVO «MU im. S.Ju. Vitte», 2015.</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2.</w:t>
      </w:r>
      <w:r w:rsidRPr="000B6C64">
        <w:rPr>
          <w:rFonts w:ascii="Times New Roman" w:hAnsi="Times New Roman"/>
          <w:sz w:val="24"/>
          <w:szCs w:val="24"/>
          <w:lang w:val="en-US"/>
        </w:rPr>
        <w:tab/>
        <w:t>Zajavlenie Central'nogo Soveta: Interdvizhenie ne hochet novogo Karabaha  // Pervaja linija. – 1991, 30 nojabrja.</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3.</w:t>
      </w:r>
      <w:r w:rsidRPr="000B6C64">
        <w:rPr>
          <w:rFonts w:ascii="Times New Roman" w:hAnsi="Times New Roman"/>
          <w:sz w:val="24"/>
          <w:szCs w:val="24"/>
          <w:lang w:val="en-US"/>
        </w:rPr>
        <w:tab/>
        <w:t>Ivanov A.A., Donbass: Rus' i Ukraina. / Ivanov A.A., Buntovskij S.Ju. //  Doneck, «Cifrovaja tipografija», 2013. – 238 s. - [Jelektronnyj resurs]. Adres dostupa: http://knigotopia.ru/book/item/1984/</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4.</w:t>
      </w:r>
      <w:r w:rsidRPr="000B6C64">
        <w:rPr>
          <w:rFonts w:ascii="Times New Roman" w:hAnsi="Times New Roman"/>
          <w:sz w:val="24"/>
          <w:szCs w:val="24"/>
          <w:lang w:val="en-US"/>
        </w:rPr>
        <w:tab/>
        <w:t xml:space="preserve">Ivanov N., Mamutov V., Prokopenko N. Kak predotvratit' nacional'nyj konflikt? // Zhizn'. – 1991, 2 sentjabrja.  </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5.</w:t>
      </w:r>
      <w:r w:rsidRPr="000B6C64">
        <w:rPr>
          <w:rFonts w:ascii="Times New Roman" w:hAnsi="Times New Roman"/>
          <w:sz w:val="24"/>
          <w:szCs w:val="24"/>
          <w:lang w:val="en-US"/>
        </w:rPr>
        <w:tab/>
        <w:t>T.V. Bolbat. Problema gosudarstvennogo ustrojstva Ukrainy v dejatel'nosti obshhestvennyh organizacij Donbassa v nachale 1990-h gg. - [Jelektronnyj resurs]. Adres dostupa: http://yadocent.livejournal.com/88158.html</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6.</w:t>
      </w:r>
      <w:r w:rsidRPr="000B6C64">
        <w:rPr>
          <w:rFonts w:ascii="Times New Roman" w:hAnsi="Times New Roman"/>
          <w:sz w:val="24"/>
          <w:szCs w:val="24"/>
          <w:lang w:val="en-US"/>
        </w:rPr>
        <w:tab/>
        <w:t>Grebenjuk S. Federativnaja zemlja Donbass? // Pervaja linija. – 1991, 12 oktjabrja.</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7.</w:t>
      </w:r>
      <w:r w:rsidRPr="000B6C64">
        <w:rPr>
          <w:rFonts w:ascii="Times New Roman" w:hAnsi="Times New Roman"/>
          <w:sz w:val="24"/>
          <w:szCs w:val="24"/>
          <w:lang w:val="en-US"/>
        </w:rPr>
        <w:tab/>
        <w:t>Pozdnyshev V. Dlja konfrontacii net prichin // Vechernij Doneck. – 1991, 29 oktjabrja.</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8.</w:t>
      </w:r>
      <w:r w:rsidRPr="000B6C64">
        <w:rPr>
          <w:rFonts w:ascii="Times New Roman" w:hAnsi="Times New Roman"/>
          <w:sz w:val="24"/>
          <w:szCs w:val="24"/>
          <w:lang w:val="en-US"/>
        </w:rPr>
        <w:tab/>
        <w:t>Buntovskij S.Ju. Istorija Donbassa. / S.Ju. Buntovskij. // Doneck, Izd-vo «Donbasskaja Rus'», 2015. - 402 s. - [Jelektronnyj resurs]. Adres dostupa: http://knigotopia.ru/book/item/5204/</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9.</w:t>
      </w:r>
      <w:r w:rsidRPr="000B6C64">
        <w:rPr>
          <w:rFonts w:ascii="Times New Roman" w:hAnsi="Times New Roman"/>
          <w:sz w:val="24"/>
          <w:szCs w:val="24"/>
          <w:lang w:val="en-US"/>
        </w:rPr>
        <w:tab/>
        <w:t>Turovskij R.F.</w:t>
      </w:r>
      <w:r w:rsidRPr="003A1F6C">
        <w:rPr>
          <w:rFonts w:ascii="Times New Roman" w:hAnsi="Times New Roman"/>
          <w:sz w:val="24"/>
          <w:szCs w:val="24"/>
          <w:lang w:val="en-US"/>
        </w:rPr>
        <w:t xml:space="preserve"> </w:t>
      </w:r>
      <w:r w:rsidRPr="000B6C64">
        <w:rPr>
          <w:rFonts w:ascii="Times New Roman" w:hAnsi="Times New Roman"/>
          <w:sz w:val="24"/>
          <w:szCs w:val="24"/>
          <w:lang w:val="en-US"/>
        </w:rPr>
        <w:t xml:space="preserve">Sovremennaja ukrainskaja gosudarstvennost' regional'nye geopoliticheskie aspekty. // R.F.Turovskij MGU im. M.V.Lomonosova, Moskva. - [Jelektronnyj resurs]. Adres dostupa: http://www.f-mx.ru/geografiya_i_geologiya/diplom_sovremennaya_ukrainskaya.html </w:t>
      </w:r>
    </w:p>
    <w:p w:rsidR="00B0574C" w:rsidRPr="000B6C64" w:rsidRDefault="00B0574C" w:rsidP="000B6C64">
      <w:pPr>
        <w:ind w:firstLine="709"/>
        <w:jc w:val="both"/>
        <w:rPr>
          <w:rFonts w:ascii="Times New Roman" w:hAnsi="Times New Roman"/>
          <w:sz w:val="24"/>
          <w:szCs w:val="24"/>
          <w:lang w:val="en-US"/>
        </w:rPr>
      </w:pPr>
      <w:r w:rsidRPr="000B6C64">
        <w:rPr>
          <w:rFonts w:ascii="Times New Roman" w:hAnsi="Times New Roman"/>
          <w:sz w:val="24"/>
          <w:szCs w:val="24"/>
          <w:lang w:val="en-US"/>
        </w:rPr>
        <w:t>10.</w:t>
      </w:r>
      <w:r w:rsidRPr="000B6C64">
        <w:rPr>
          <w:rFonts w:ascii="Times New Roman" w:hAnsi="Times New Roman"/>
          <w:sz w:val="24"/>
          <w:szCs w:val="24"/>
          <w:lang w:val="en-US"/>
        </w:rPr>
        <w:tab/>
        <w:t>25 let donbasskogo separatizma. // Real'naja gazeta 24.03.2016 - [Jelektronnyj resurs]. Adres dostupa: http://realgazeta.com.ua/25-let-donbasskogo-separatizma_-chast-vtoraya/</w:t>
      </w:r>
    </w:p>
    <w:p w:rsidR="00B0574C" w:rsidRPr="000D2500" w:rsidRDefault="00B0574C" w:rsidP="000B6C64">
      <w:pPr>
        <w:ind w:firstLine="709"/>
        <w:jc w:val="both"/>
        <w:rPr>
          <w:rFonts w:ascii="Times New Roman" w:hAnsi="Times New Roman"/>
          <w:sz w:val="24"/>
          <w:szCs w:val="24"/>
          <w:lang w:val="en-US"/>
        </w:rPr>
      </w:pPr>
      <w:r w:rsidRPr="000D2500">
        <w:rPr>
          <w:rFonts w:ascii="Times New Roman" w:hAnsi="Times New Roman"/>
          <w:sz w:val="24"/>
          <w:szCs w:val="24"/>
          <w:lang w:val="en-US"/>
        </w:rPr>
        <w:t>11.</w:t>
      </w:r>
      <w:r w:rsidRPr="000D2500">
        <w:rPr>
          <w:rFonts w:ascii="Times New Roman" w:hAnsi="Times New Roman"/>
          <w:sz w:val="24"/>
          <w:szCs w:val="24"/>
          <w:lang w:val="en-US"/>
        </w:rPr>
        <w:tab/>
        <w:t>Buntovskij S.Ju., Nemirskij A.S. Ispol'zovanie social'nyh setej dlja formirovanija separatistskih nastroenij // Aktual'nye problemy nauki i obrazovanija. – № 2 (2). – M.:  Izdatel'stvo «Almaz-Prof», 2016. - S. 26-33</w:t>
      </w:r>
    </w:p>
    <w:sectPr w:rsidR="00B0574C" w:rsidRPr="000D2500" w:rsidSect="00C8005D">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74C" w:rsidRDefault="00B0574C" w:rsidP="00FD451B">
      <w:r>
        <w:separator/>
      </w:r>
    </w:p>
  </w:endnote>
  <w:endnote w:type="continuationSeparator" w:id="0">
    <w:p w:rsidR="00B0574C" w:rsidRDefault="00B0574C" w:rsidP="00FD451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74C" w:rsidRDefault="00B0574C">
    <w:pPr>
      <w:pStyle w:val="Footer"/>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31</w:t>
    </w:r>
    <w:r w:rsidRPr="0000358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74C" w:rsidRDefault="00B0574C" w:rsidP="00FD451B">
      <w:r>
        <w:separator/>
      </w:r>
    </w:p>
  </w:footnote>
  <w:footnote w:type="continuationSeparator" w:id="0">
    <w:p w:rsidR="00B0574C" w:rsidRDefault="00B0574C" w:rsidP="00FD45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74C" w:rsidRDefault="00B0574C"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574C" w:rsidRDefault="00B0574C" w:rsidP="000C032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74C" w:rsidRPr="000C032B" w:rsidRDefault="00B0574C" w:rsidP="0043000E">
    <w:pPr>
      <w:pStyle w:val="Header"/>
      <w:framePr w:wrap="around" w:vAnchor="text" w:hAnchor="margin" w:xAlign="right" w:y="1"/>
      <w:rPr>
        <w:rStyle w:val="PageNumber"/>
        <w:rFonts w:ascii="Times New Roman" w:hAnsi="Times New Roman"/>
        <w:sz w:val="28"/>
        <w:szCs w:val="28"/>
      </w:rPr>
    </w:pPr>
    <w:r w:rsidRPr="000C032B">
      <w:rPr>
        <w:rStyle w:val="PageNumber"/>
        <w:rFonts w:ascii="Times New Roman" w:hAnsi="Times New Roman"/>
        <w:sz w:val="28"/>
        <w:szCs w:val="28"/>
      </w:rPr>
      <w:fldChar w:fldCharType="begin"/>
    </w:r>
    <w:r w:rsidRPr="000C032B">
      <w:rPr>
        <w:rStyle w:val="PageNumber"/>
        <w:rFonts w:ascii="Times New Roman" w:hAnsi="Times New Roman"/>
        <w:sz w:val="28"/>
        <w:szCs w:val="28"/>
      </w:rPr>
      <w:instrText xml:space="preserve">PAGE  </w:instrText>
    </w:r>
    <w:r w:rsidRPr="000C032B">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0C032B">
      <w:rPr>
        <w:rStyle w:val="PageNumber"/>
        <w:rFonts w:ascii="Times New Roman" w:hAnsi="Times New Roman"/>
        <w:sz w:val="28"/>
        <w:szCs w:val="28"/>
      </w:rPr>
      <w:fldChar w:fldCharType="end"/>
    </w:r>
  </w:p>
  <w:p w:rsidR="00B0574C" w:rsidRPr="000C032B" w:rsidRDefault="00B0574C" w:rsidP="000C032B">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B0574C" w:rsidRDefault="00B057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14E40"/>
    <w:multiLevelType w:val="multilevel"/>
    <w:tmpl w:val="68005D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6A365C04"/>
    <w:multiLevelType w:val="hybridMultilevel"/>
    <w:tmpl w:val="BEF2DC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6B804E76"/>
    <w:multiLevelType w:val="hybridMultilevel"/>
    <w:tmpl w:val="785602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399"/>
    <w:rsid w:val="00003589"/>
    <w:rsid w:val="000215C0"/>
    <w:rsid w:val="000545EF"/>
    <w:rsid w:val="000720E5"/>
    <w:rsid w:val="000842AB"/>
    <w:rsid w:val="000A09CB"/>
    <w:rsid w:val="000B18F0"/>
    <w:rsid w:val="000B6C64"/>
    <w:rsid w:val="000C032B"/>
    <w:rsid w:val="000C2090"/>
    <w:rsid w:val="000C7596"/>
    <w:rsid w:val="000D2500"/>
    <w:rsid w:val="000D6CA0"/>
    <w:rsid w:val="000E0382"/>
    <w:rsid w:val="000F14E0"/>
    <w:rsid w:val="000F70D7"/>
    <w:rsid w:val="00124961"/>
    <w:rsid w:val="00125EF4"/>
    <w:rsid w:val="00142E10"/>
    <w:rsid w:val="001D7A65"/>
    <w:rsid w:val="001E290E"/>
    <w:rsid w:val="0021091E"/>
    <w:rsid w:val="0021239C"/>
    <w:rsid w:val="002653A2"/>
    <w:rsid w:val="00295284"/>
    <w:rsid w:val="002C3F9C"/>
    <w:rsid w:val="002C4124"/>
    <w:rsid w:val="002D6FD1"/>
    <w:rsid w:val="003036DA"/>
    <w:rsid w:val="00312239"/>
    <w:rsid w:val="0032656B"/>
    <w:rsid w:val="00333AF9"/>
    <w:rsid w:val="00360D14"/>
    <w:rsid w:val="00386555"/>
    <w:rsid w:val="003A06BC"/>
    <w:rsid w:val="003A1F6C"/>
    <w:rsid w:val="003D41B6"/>
    <w:rsid w:val="0041236C"/>
    <w:rsid w:val="0043000E"/>
    <w:rsid w:val="004422F4"/>
    <w:rsid w:val="00463FA3"/>
    <w:rsid w:val="00485277"/>
    <w:rsid w:val="004944B9"/>
    <w:rsid w:val="004A3244"/>
    <w:rsid w:val="004C04F4"/>
    <w:rsid w:val="004C0F81"/>
    <w:rsid w:val="004D7B78"/>
    <w:rsid w:val="004F1BDA"/>
    <w:rsid w:val="004F1D5F"/>
    <w:rsid w:val="004F6D2C"/>
    <w:rsid w:val="00562E17"/>
    <w:rsid w:val="0058321B"/>
    <w:rsid w:val="005B05C4"/>
    <w:rsid w:val="005B7BCA"/>
    <w:rsid w:val="006201EC"/>
    <w:rsid w:val="006341B1"/>
    <w:rsid w:val="00650E38"/>
    <w:rsid w:val="006D4036"/>
    <w:rsid w:val="00757C00"/>
    <w:rsid w:val="00781818"/>
    <w:rsid w:val="0078759E"/>
    <w:rsid w:val="00794B62"/>
    <w:rsid w:val="007B7297"/>
    <w:rsid w:val="007C6E2B"/>
    <w:rsid w:val="007D6727"/>
    <w:rsid w:val="007F0B81"/>
    <w:rsid w:val="00806DF6"/>
    <w:rsid w:val="008177D8"/>
    <w:rsid w:val="008342A4"/>
    <w:rsid w:val="00845C0E"/>
    <w:rsid w:val="00870D01"/>
    <w:rsid w:val="008713AB"/>
    <w:rsid w:val="00885F97"/>
    <w:rsid w:val="008A291E"/>
    <w:rsid w:val="00906906"/>
    <w:rsid w:val="00931024"/>
    <w:rsid w:val="009420AD"/>
    <w:rsid w:val="00944EB1"/>
    <w:rsid w:val="009550A2"/>
    <w:rsid w:val="00971CD8"/>
    <w:rsid w:val="00972769"/>
    <w:rsid w:val="009810C0"/>
    <w:rsid w:val="009E2AF4"/>
    <w:rsid w:val="009E6C32"/>
    <w:rsid w:val="00A0634A"/>
    <w:rsid w:val="00A135F8"/>
    <w:rsid w:val="00A563D0"/>
    <w:rsid w:val="00A82F8C"/>
    <w:rsid w:val="00A90C2C"/>
    <w:rsid w:val="00AA1CC3"/>
    <w:rsid w:val="00AA255E"/>
    <w:rsid w:val="00AB7282"/>
    <w:rsid w:val="00AC58FE"/>
    <w:rsid w:val="00AD668C"/>
    <w:rsid w:val="00B04ED7"/>
    <w:rsid w:val="00B0574C"/>
    <w:rsid w:val="00B07159"/>
    <w:rsid w:val="00B07C41"/>
    <w:rsid w:val="00B07FDF"/>
    <w:rsid w:val="00B15216"/>
    <w:rsid w:val="00B20CDB"/>
    <w:rsid w:val="00B45AE6"/>
    <w:rsid w:val="00B54C1C"/>
    <w:rsid w:val="00B72508"/>
    <w:rsid w:val="00B76DD3"/>
    <w:rsid w:val="00B92952"/>
    <w:rsid w:val="00BC21C0"/>
    <w:rsid w:val="00BD73C2"/>
    <w:rsid w:val="00BF3357"/>
    <w:rsid w:val="00BF4B9E"/>
    <w:rsid w:val="00C008A6"/>
    <w:rsid w:val="00C05649"/>
    <w:rsid w:val="00C058F4"/>
    <w:rsid w:val="00C53399"/>
    <w:rsid w:val="00C54795"/>
    <w:rsid w:val="00C8005D"/>
    <w:rsid w:val="00CA3666"/>
    <w:rsid w:val="00CA4CA0"/>
    <w:rsid w:val="00CB18D5"/>
    <w:rsid w:val="00CD6623"/>
    <w:rsid w:val="00CE231D"/>
    <w:rsid w:val="00CE6055"/>
    <w:rsid w:val="00CF0591"/>
    <w:rsid w:val="00D0375C"/>
    <w:rsid w:val="00D1161C"/>
    <w:rsid w:val="00D327D1"/>
    <w:rsid w:val="00D414CE"/>
    <w:rsid w:val="00D42BC5"/>
    <w:rsid w:val="00D45C8E"/>
    <w:rsid w:val="00D471EA"/>
    <w:rsid w:val="00D512C5"/>
    <w:rsid w:val="00D566ED"/>
    <w:rsid w:val="00D83348"/>
    <w:rsid w:val="00D93B84"/>
    <w:rsid w:val="00DA4EE8"/>
    <w:rsid w:val="00DB2A0A"/>
    <w:rsid w:val="00DC137B"/>
    <w:rsid w:val="00DC7F6F"/>
    <w:rsid w:val="00DF2E42"/>
    <w:rsid w:val="00DF7620"/>
    <w:rsid w:val="00E23C64"/>
    <w:rsid w:val="00E307FF"/>
    <w:rsid w:val="00E659ED"/>
    <w:rsid w:val="00E8076F"/>
    <w:rsid w:val="00EA5D31"/>
    <w:rsid w:val="00EB1600"/>
    <w:rsid w:val="00EC420C"/>
    <w:rsid w:val="00ED5DF9"/>
    <w:rsid w:val="00EE4E16"/>
    <w:rsid w:val="00EF6417"/>
    <w:rsid w:val="00F218EA"/>
    <w:rsid w:val="00F94F3C"/>
    <w:rsid w:val="00FC5F70"/>
    <w:rsid w:val="00FC6C6D"/>
    <w:rsid w:val="00FD45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159"/>
    <w:rPr>
      <w:lang w:eastAsia="en-US"/>
    </w:rPr>
  </w:style>
  <w:style w:type="paragraph" w:styleId="Heading2">
    <w:name w:val="heading 2"/>
    <w:basedOn w:val="Normal"/>
    <w:next w:val="Normal"/>
    <w:link w:val="Heading2Char"/>
    <w:uiPriority w:val="99"/>
    <w:qFormat/>
    <w:rsid w:val="009E2AF4"/>
    <w:pPr>
      <w:keepNext/>
      <w:spacing w:before="240" w:after="60"/>
      <w:outlineLvl w:val="1"/>
    </w:pPr>
    <w:rPr>
      <w:rFonts w:ascii="Arial" w:eastAsia="Times New Roman" w:hAnsi="Arial"/>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E2AF4"/>
    <w:rPr>
      <w:rFonts w:ascii="Arial" w:hAnsi="Arial"/>
      <w:b/>
      <w:i/>
      <w:sz w:val="28"/>
      <w:lang w:eastAsia="ru-RU"/>
    </w:rPr>
  </w:style>
  <w:style w:type="character" w:customStyle="1" w:styleId="apple-converted-space">
    <w:name w:val="apple-converted-space"/>
    <w:basedOn w:val="DefaultParagraphFont"/>
    <w:uiPriority w:val="99"/>
    <w:rsid w:val="00D0375C"/>
    <w:rPr>
      <w:rFonts w:cs="Times New Roman"/>
    </w:rPr>
  </w:style>
  <w:style w:type="paragraph" w:styleId="NormalWeb">
    <w:name w:val="Normal (Web)"/>
    <w:basedOn w:val="Normal"/>
    <w:uiPriority w:val="99"/>
    <w:rsid w:val="00D0375C"/>
    <w:pPr>
      <w:spacing w:before="100" w:beforeAutospacing="1" w:after="100" w:afterAutospacing="1"/>
    </w:pPr>
    <w:rPr>
      <w:rFonts w:ascii="Times New Roman" w:eastAsia="Times New Roman" w:hAnsi="Times New Roman"/>
      <w:sz w:val="24"/>
      <w:szCs w:val="24"/>
      <w:lang w:eastAsia="ru-RU"/>
    </w:rPr>
  </w:style>
  <w:style w:type="character" w:styleId="Hyperlink">
    <w:name w:val="Hyperlink"/>
    <w:basedOn w:val="DefaultParagraphFont"/>
    <w:uiPriority w:val="99"/>
    <w:rsid w:val="00D0375C"/>
    <w:rPr>
      <w:rFonts w:cs="Times New Roman"/>
      <w:color w:val="0000FF"/>
      <w:u w:val="single"/>
    </w:rPr>
  </w:style>
  <w:style w:type="paragraph" w:styleId="ListParagraph">
    <w:name w:val="List Paragraph"/>
    <w:basedOn w:val="Normal"/>
    <w:uiPriority w:val="99"/>
    <w:qFormat/>
    <w:rsid w:val="0021091E"/>
    <w:pPr>
      <w:ind w:left="720"/>
      <w:contextualSpacing/>
    </w:pPr>
    <w:rPr>
      <w:rFonts w:ascii="Times New Roman" w:eastAsia="Times New Roman" w:hAnsi="Times New Roman"/>
      <w:sz w:val="24"/>
      <w:szCs w:val="24"/>
      <w:lang w:eastAsia="ru-RU"/>
    </w:rPr>
  </w:style>
  <w:style w:type="character" w:customStyle="1" w:styleId="5yl5">
    <w:name w:val="_5yl5"/>
    <w:basedOn w:val="DefaultParagraphFont"/>
    <w:uiPriority w:val="99"/>
    <w:rsid w:val="00B92952"/>
    <w:rPr>
      <w:rFonts w:cs="Times New Roman"/>
    </w:rPr>
  </w:style>
  <w:style w:type="paragraph" w:styleId="BalloonText">
    <w:name w:val="Balloon Text"/>
    <w:basedOn w:val="Normal"/>
    <w:link w:val="BalloonTextChar"/>
    <w:uiPriority w:val="99"/>
    <w:semiHidden/>
    <w:rsid w:val="00B9295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2952"/>
    <w:rPr>
      <w:rFonts w:ascii="Tahoma" w:hAnsi="Tahoma" w:cs="Tahoma"/>
      <w:sz w:val="16"/>
      <w:szCs w:val="16"/>
    </w:rPr>
  </w:style>
  <w:style w:type="paragraph" w:styleId="FootnoteText">
    <w:name w:val="footnote text"/>
    <w:basedOn w:val="Normal"/>
    <w:link w:val="FootnoteTextChar"/>
    <w:uiPriority w:val="99"/>
    <w:rsid w:val="002C3F9C"/>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2C3F9C"/>
    <w:rPr>
      <w:rFonts w:ascii="Times New Roman" w:hAnsi="Times New Roman" w:cs="Times New Roman"/>
      <w:sz w:val="20"/>
      <w:szCs w:val="20"/>
      <w:lang w:eastAsia="ru-RU"/>
    </w:rPr>
  </w:style>
  <w:style w:type="character" w:styleId="FootnoteReference">
    <w:name w:val="footnote reference"/>
    <w:basedOn w:val="DefaultParagraphFont"/>
    <w:uiPriority w:val="99"/>
    <w:rsid w:val="002C3F9C"/>
    <w:rPr>
      <w:rFonts w:cs="Times New Roman"/>
      <w:vertAlign w:val="superscript"/>
    </w:rPr>
  </w:style>
  <w:style w:type="character" w:styleId="Strong">
    <w:name w:val="Strong"/>
    <w:basedOn w:val="DefaultParagraphFont"/>
    <w:uiPriority w:val="99"/>
    <w:qFormat/>
    <w:rsid w:val="009E2AF4"/>
    <w:rPr>
      <w:rFonts w:cs="Times New Roman"/>
      <w:b/>
    </w:rPr>
  </w:style>
  <w:style w:type="character" w:customStyle="1" w:styleId="2">
    <w:name w:val="Заголовок 2 Знак"/>
    <w:basedOn w:val="DefaultParagraphFont"/>
    <w:uiPriority w:val="99"/>
    <w:semiHidden/>
    <w:rsid w:val="009E2AF4"/>
    <w:rPr>
      <w:rFonts w:ascii="Cambria" w:hAnsi="Cambria" w:cs="Times New Roman"/>
      <w:b/>
      <w:bCs/>
      <w:color w:val="4F81BD"/>
      <w:sz w:val="26"/>
      <w:szCs w:val="26"/>
    </w:rPr>
  </w:style>
  <w:style w:type="paragraph" w:styleId="Header">
    <w:name w:val="header"/>
    <w:basedOn w:val="Normal"/>
    <w:link w:val="HeaderChar"/>
    <w:uiPriority w:val="99"/>
    <w:rsid w:val="00C8005D"/>
    <w:pPr>
      <w:tabs>
        <w:tab w:val="center" w:pos="4677"/>
        <w:tab w:val="right" w:pos="9355"/>
      </w:tabs>
    </w:pPr>
  </w:style>
  <w:style w:type="character" w:customStyle="1" w:styleId="HeaderChar">
    <w:name w:val="Header Char"/>
    <w:basedOn w:val="DefaultParagraphFont"/>
    <w:link w:val="Header"/>
    <w:uiPriority w:val="99"/>
    <w:locked/>
    <w:rsid w:val="00C8005D"/>
    <w:rPr>
      <w:rFonts w:cs="Times New Roman"/>
    </w:rPr>
  </w:style>
  <w:style w:type="paragraph" w:styleId="Footer">
    <w:name w:val="footer"/>
    <w:basedOn w:val="Normal"/>
    <w:link w:val="FooterChar"/>
    <w:uiPriority w:val="99"/>
    <w:semiHidden/>
    <w:rsid w:val="00C8005D"/>
    <w:pPr>
      <w:tabs>
        <w:tab w:val="center" w:pos="4677"/>
        <w:tab w:val="right" w:pos="9355"/>
      </w:tabs>
    </w:pPr>
  </w:style>
  <w:style w:type="character" w:customStyle="1" w:styleId="FooterChar">
    <w:name w:val="Footer Char"/>
    <w:basedOn w:val="DefaultParagraphFont"/>
    <w:link w:val="Footer"/>
    <w:uiPriority w:val="99"/>
    <w:semiHidden/>
    <w:locked/>
    <w:rsid w:val="00C8005D"/>
    <w:rPr>
      <w:rFonts w:cs="Times New Roman"/>
    </w:rPr>
  </w:style>
  <w:style w:type="table" w:styleId="TableGrid">
    <w:name w:val="Table Grid"/>
    <w:basedOn w:val="TableNormal"/>
    <w:uiPriority w:val="99"/>
    <w:rsid w:val="000D25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0C032B"/>
    <w:rPr>
      <w:rFonts w:cs="Times New Roman"/>
    </w:rPr>
  </w:style>
</w:styles>
</file>

<file path=word/webSettings.xml><?xml version="1.0" encoding="utf-8"?>
<w:webSettings xmlns:r="http://schemas.openxmlformats.org/officeDocument/2006/relationships" xmlns:w="http://schemas.openxmlformats.org/wordprocessingml/2006/main">
  <w:divs>
    <w:div w:id="1544250757">
      <w:marLeft w:val="0"/>
      <w:marRight w:val="0"/>
      <w:marTop w:val="0"/>
      <w:marBottom w:val="0"/>
      <w:divBdr>
        <w:top w:val="none" w:sz="0" w:space="0" w:color="auto"/>
        <w:left w:val="none" w:sz="0" w:space="0" w:color="auto"/>
        <w:bottom w:val="none" w:sz="0" w:space="0" w:color="auto"/>
        <w:right w:val="none" w:sz="0" w:space="0" w:color="auto"/>
      </w:divBdr>
    </w:div>
    <w:div w:id="1544250776">
      <w:marLeft w:val="0"/>
      <w:marRight w:val="0"/>
      <w:marTop w:val="0"/>
      <w:marBottom w:val="0"/>
      <w:divBdr>
        <w:top w:val="none" w:sz="0" w:space="0" w:color="auto"/>
        <w:left w:val="none" w:sz="0" w:space="0" w:color="auto"/>
        <w:bottom w:val="none" w:sz="0" w:space="0" w:color="auto"/>
        <w:right w:val="none" w:sz="0" w:space="0" w:color="auto"/>
      </w:divBdr>
    </w:div>
    <w:div w:id="1544250790">
      <w:marLeft w:val="0"/>
      <w:marRight w:val="0"/>
      <w:marTop w:val="0"/>
      <w:marBottom w:val="0"/>
      <w:divBdr>
        <w:top w:val="none" w:sz="0" w:space="0" w:color="auto"/>
        <w:left w:val="none" w:sz="0" w:space="0" w:color="auto"/>
        <w:bottom w:val="none" w:sz="0" w:space="0" w:color="auto"/>
        <w:right w:val="none" w:sz="0" w:space="0" w:color="auto"/>
      </w:divBdr>
      <w:divsChild>
        <w:div w:id="1544250777">
          <w:marLeft w:val="120"/>
          <w:marRight w:val="135"/>
          <w:marTop w:val="150"/>
          <w:marBottom w:val="150"/>
          <w:divBdr>
            <w:top w:val="none" w:sz="0" w:space="0" w:color="auto"/>
            <w:left w:val="none" w:sz="0" w:space="0" w:color="auto"/>
            <w:bottom w:val="none" w:sz="0" w:space="0" w:color="auto"/>
            <w:right w:val="none" w:sz="0" w:space="0" w:color="auto"/>
          </w:divBdr>
          <w:divsChild>
            <w:div w:id="1544250766">
              <w:marLeft w:val="0"/>
              <w:marRight w:val="0"/>
              <w:marTop w:val="0"/>
              <w:marBottom w:val="0"/>
              <w:divBdr>
                <w:top w:val="none" w:sz="0" w:space="0" w:color="auto"/>
                <w:left w:val="none" w:sz="0" w:space="0" w:color="auto"/>
                <w:bottom w:val="none" w:sz="0" w:space="0" w:color="auto"/>
                <w:right w:val="none" w:sz="0" w:space="0" w:color="auto"/>
              </w:divBdr>
            </w:div>
            <w:div w:id="1544250771">
              <w:marLeft w:val="0"/>
              <w:marRight w:val="0"/>
              <w:marTop w:val="0"/>
              <w:marBottom w:val="0"/>
              <w:divBdr>
                <w:top w:val="none" w:sz="0" w:space="0" w:color="auto"/>
                <w:left w:val="none" w:sz="0" w:space="0" w:color="auto"/>
                <w:bottom w:val="none" w:sz="0" w:space="0" w:color="auto"/>
                <w:right w:val="none" w:sz="0" w:space="0" w:color="auto"/>
              </w:divBdr>
              <w:divsChild>
                <w:div w:id="1544250753">
                  <w:marLeft w:val="0"/>
                  <w:marRight w:val="0"/>
                  <w:marTop w:val="0"/>
                  <w:marBottom w:val="0"/>
                  <w:divBdr>
                    <w:top w:val="none" w:sz="0" w:space="0" w:color="auto"/>
                    <w:left w:val="none" w:sz="0" w:space="0" w:color="auto"/>
                    <w:bottom w:val="none" w:sz="0" w:space="0" w:color="auto"/>
                    <w:right w:val="none" w:sz="0" w:space="0" w:color="auto"/>
                  </w:divBdr>
                  <w:divsChild>
                    <w:div w:id="1544250801">
                      <w:marLeft w:val="120"/>
                      <w:marRight w:val="0"/>
                      <w:marTop w:val="0"/>
                      <w:marBottom w:val="0"/>
                      <w:divBdr>
                        <w:top w:val="none" w:sz="0" w:space="0" w:color="auto"/>
                        <w:left w:val="none" w:sz="0" w:space="0" w:color="auto"/>
                        <w:bottom w:val="none" w:sz="0" w:space="0" w:color="auto"/>
                        <w:right w:val="none" w:sz="0" w:space="0" w:color="auto"/>
                      </w:divBdr>
                      <w:divsChild>
                        <w:div w:id="1544250800">
                          <w:marLeft w:val="0"/>
                          <w:marRight w:val="0"/>
                          <w:marTop w:val="0"/>
                          <w:marBottom w:val="0"/>
                          <w:divBdr>
                            <w:top w:val="none" w:sz="0" w:space="0" w:color="auto"/>
                            <w:left w:val="none" w:sz="0" w:space="0" w:color="auto"/>
                            <w:bottom w:val="none" w:sz="0" w:space="0" w:color="auto"/>
                            <w:right w:val="none" w:sz="0" w:space="0" w:color="auto"/>
                          </w:divBdr>
                          <w:divsChild>
                            <w:div w:id="1544250749">
                              <w:marLeft w:val="0"/>
                              <w:marRight w:val="0"/>
                              <w:marTop w:val="0"/>
                              <w:marBottom w:val="0"/>
                              <w:divBdr>
                                <w:top w:val="none" w:sz="0" w:space="0" w:color="auto"/>
                                <w:left w:val="none" w:sz="0" w:space="0" w:color="auto"/>
                                <w:bottom w:val="none" w:sz="0" w:space="0" w:color="auto"/>
                                <w:right w:val="none" w:sz="0" w:space="0" w:color="auto"/>
                              </w:divBdr>
                              <w:divsChild>
                                <w:div w:id="1544250782">
                                  <w:marLeft w:val="0"/>
                                  <w:marRight w:val="0"/>
                                  <w:marTop w:val="0"/>
                                  <w:marBottom w:val="0"/>
                                  <w:divBdr>
                                    <w:top w:val="none" w:sz="0" w:space="0" w:color="auto"/>
                                    <w:left w:val="none" w:sz="0" w:space="0" w:color="auto"/>
                                    <w:bottom w:val="none" w:sz="0" w:space="0" w:color="auto"/>
                                    <w:right w:val="none" w:sz="0" w:space="0" w:color="auto"/>
                                  </w:divBdr>
                                  <w:divsChild>
                                    <w:div w:id="154425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4250780">
          <w:marLeft w:val="120"/>
          <w:marRight w:val="135"/>
          <w:marTop w:val="150"/>
          <w:marBottom w:val="150"/>
          <w:divBdr>
            <w:top w:val="none" w:sz="0" w:space="0" w:color="auto"/>
            <w:left w:val="none" w:sz="0" w:space="0" w:color="auto"/>
            <w:bottom w:val="none" w:sz="0" w:space="0" w:color="auto"/>
            <w:right w:val="none" w:sz="0" w:space="0" w:color="auto"/>
          </w:divBdr>
          <w:divsChild>
            <w:div w:id="1544250795">
              <w:marLeft w:val="0"/>
              <w:marRight w:val="0"/>
              <w:marTop w:val="0"/>
              <w:marBottom w:val="0"/>
              <w:divBdr>
                <w:top w:val="none" w:sz="0" w:space="0" w:color="auto"/>
                <w:left w:val="none" w:sz="0" w:space="0" w:color="auto"/>
                <w:bottom w:val="none" w:sz="0" w:space="0" w:color="auto"/>
                <w:right w:val="none" w:sz="0" w:space="0" w:color="auto"/>
              </w:divBdr>
              <w:divsChild>
                <w:div w:id="1544250787">
                  <w:marLeft w:val="0"/>
                  <w:marRight w:val="0"/>
                  <w:marTop w:val="0"/>
                  <w:marBottom w:val="0"/>
                  <w:divBdr>
                    <w:top w:val="none" w:sz="0" w:space="0" w:color="auto"/>
                    <w:left w:val="none" w:sz="0" w:space="0" w:color="auto"/>
                    <w:bottom w:val="none" w:sz="0" w:space="0" w:color="auto"/>
                    <w:right w:val="none" w:sz="0" w:space="0" w:color="auto"/>
                  </w:divBdr>
                  <w:divsChild>
                    <w:div w:id="1544250779">
                      <w:marLeft w:val="120"/>
                      <w:marRight w:val="0"/>
                      <w:marTop w:val="0"/>
                      <w:marBottom w:val="0"/>
                      <w:divBdr>
                        <w:top w:val="none" w:sz="0" w:space="0" w:color="auto"/>
                        <w:left w:val="none" w:sz="0" w:space="0" w:color="auto"/>
                        <w:bottom w:val="none" w:sz="0" w:space="0" w:color="auto"/>
                        <w:right w:val="none" w:sz="0" w:space="0" w:color="auto"/>
                      </w:divBdr>
                      <w:divsChild>
                        <w:div w:id="1544250798">
                          <w:marLeft w:val="0"/>
                          <w:marRight w:val="0"/>
                          <w:marTop w:val="0"/>
                          <w:marBottom w:val="0"/>
                          <w:divBdr>
                            <w:top w:val="none" w:sz="0" w:space="0" w:color="auto"/>
                            <w:left w:val="none" w:sz="0" w:space="0" w:color="auto"/>
                            <w:bottom w:val="none" w:sz="0" w:space="0" w:color="auto"/>
                            <w:right w:val="none" w:sz="0" w:space="0" w:color="auto"/>
                          </w:divBdr>
                          <w:divsChild>
                            <w:div w:id="1544250752">
                              <w:marLeft w:val="0"/>
                              <w:marRight w:val="0"/>
                              <w:marTop w:val="0"/>
                              <w:marBottom w:val="0"/>
                              <w:divBdr>
                                <w:top w:val="none" w:sz="0" w:space="0" w:color="auto"/>
                                <w:left w:val="none" w:sz="0" w:space="0" w:color="auto"/>
                                <w:bottom w:val="none" w:sz="0" w:space="0" w:color="auto"/>
                                <w:right w:val="none" w:sz="0" w:space="0" w:color="auto"/>
                              </w:divBdr>
                              <w:divsChild>
                                <w:div w:id="1544250760">
                                  <w:marLeft w:val="0"/>
                                  <w:marRight w:val="0"/>
                                  <w:marTop w:val="0"/>
                                  <w:marBottom w:val="0"/>
                                  <w:divBdr>
                                    <w:top w:val="none" w:sz="0" w:space="0" w:color="auto"/>
                                    <w:left w:val="none" w:sz="0" w:space="0" w:color="auto"/>
                                    <w:bottom w:val="none" w:sz="0" w:space="0" w:color="auto"/>
                                    <w:right w:val="none" w:sz="0" w:space="0" w:color="auto"/>
                                  </w:divBdr>
                                  <w:divsChild>
                                    <w:div w:id="154425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4250788">
          <w:marLeft w:val="120"/>
          <w:marRight w:val="135"/>
          <w:marTop w:val="150"/>
          <w:marBottom w:val="150"/>
          <w:divBdr>
            <w:top w:val="none" w:sz="0" w:space="0" w:color="auto"/>
            <w:left w:val="none" w:sz="0" w:space="0" w:color="auto"/>
            <w:bottom w:val="none" w:sz="0" w:space="0" w:color="auto"/>
            <w:right w:val="none" w:sz="0" w:space="0" w:color="auto"/>
          </w:divBdr>
          <w:divsChild>
            <w:div w:id="1544250789">
              <w:marLeft w:val="0"/>
              <w:marRight w:val="0"/>
              <w:marTop w:val="0"/>
              <w:marBottom w:val="0"/>
              <w:divBdr>
                <w:top w:val="none" w:sz="0" w:space="0" w:color="auto"/>
                <w:left w:val="none" w:sz="0" w:space="0" w:color="auto"/>
                <w:bottom w:val="none" w:sz="0" w:space="0" w:color="auto"/>
                <w:right w:val="none" w:sz="0" w:space="0" w:color="auto"/>
              </w:divBdr>
            </w:div>
            <w:div w:id="1544250791">
              <w:marLeft w:val="0"/>
              <w:marRight w:val="0"/>
              <w:marTop w:val="0"/>
              <w:marBottom w:val="0"/>
              <w:divBdr>
                <w:top w:val="none" w:sz="0" w:space="0" w:color="auto"/>
                <w:left w:val="none" w:sz="0" w:space="0" w:color="auto"/>
                <w:bottom w:val="none" w:sz="0" w:space="0" w:color="auto"/>
                <w:right w:val="none" w:sz="0" w:space="0" w:color="auto"/>
              </w:divBdr>
              <w:divsChild>
                <w:div w:id="1544250770">
                  <w:marLeft w:val="0"/>
                  <w:marRight w:val="0"/>
                  <w:marTop w:val="0"/>
                  <w:marBottom w:val="0"/>
                  <w:divBdr>
                    <w:top w:val="none" w:sz="0" w:space="0" w:color="auto"/>
                    <w:left w:val="none" w:sz="0" w:space="0" w:color="auto"/>
                    <w:bottom w:val="none" w:sz="0" w:space="0" w:color="auto"/>
                    <w:right w:val="none" w:sz="0" w:space="0" w:color="auto"/>
                  </w:divBdr>
                  <w:divsChild>
                    <w:div w:id="1544250767">
                      <w:marLeft w:val="120"/>
                      <w:marRight w:val="0"/>
                      <w:marTop w:val="0"/>
                      <w:marBottom w:val="0"/>
                      <w:divBdr>
                        <w:top w:val="none" w:sz="0" w:space="0" w:color="auto"/>
                        <w:left w:val="none" w:sz="0" w:space="0" w:color="auto"/>
                        <w:bottom w:val="none" w:sz="0" w:space="0" w:color="auto"/>
                        <w:right w:val="none" w:sz="0" w:space="0" w:color="auto"/>
                      </w:divBdr>
                      <w:divsChild>
                        <w:div w:id="1544250768">
                          <w:marLeft w:val="0"/>
                          <w:marRight w:val="0"/>
                          <w:marTop w:val="0"/>
                          <w:marBottom w:val="0"/>
                          <w:divBdr>
                            <w:top w:val="none" w:sz="0" w:space="0" w:color="auto"/>
                            <w:left w:val="none" w:sz="0" w:space="0" w:color="auto"/>
                            <w:bottom w:val="none" w:sz="0" w:space="0" w:color="auto"/>
                            <w:right w:val="none" w:sz="0" w:space="0" w:color="auto"/>
                          </w:divBdr>
                          <w:divsChild>
                            <w:div w:id="1544250751">
                              <w:marLeft w:val="0"/>
                              <w:marRight w:val="0"/>
                              <w:marTop w:val="0"/>
                              <w:marBottom w:val="0"/>
                              <w:divBdr>
                                <w:top w:val="none" w:sz="0" w:space="0" w:color="auto"/>
                                <w:left w:val="none" w:sz="0" w:space="0" w:color="auto"/>
                                <w:bottom w:val="none" w:sz="0" w:space="0" w:color="auto"/>
                                <w:right w:val="none" w:sz="0" w:space="0" w:color="auto"/>
                              </w:divBdr>
                              <w:divsChild>
                                <w:div w:id="1544250755">
                                  <w:marLeft w:val="0"/>
                                  <w:marRight w:val="0"/>
                                  <w:marTop w:val="0"/>
                                  <w:marBottom w:val="0"/>
                                  <w:divBdr>
                                    <w:top w:val="none" w:sz="0" w:space="0" w:color="auto"/>
                                    <w:left w:val="none" w:sz="0" w:space="0" w:color="auto"/>
                                    <w:bottom w:val="none" w:sz="0" w:space="0" w:color="auto"/>
                                    <w:right w:val="none" w:sz="0" w:space="0" w:color="auto"/>
                                  </w:divBdr>
                                  <w:divsChild>
                                    <w:div w:id="154425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4250792">
      <w:marLeft w:val="0"/>
      <w:marRight w:val="0"/>
      <w:marTop w:val="0"/>
      <w:marBottom w:val="0"/>
      <w:divBdr>
        <w:top w:val="none" w:sz="0" w:space="0" w:color="auto"/>
        <w:left w:val="none" w:sz="0" w:space="0" w:color="auto"/>
        <w:bottom w:val="none" w:sz="0" w:space="0" w:color="auto"/>
        <w:right w:val="none" w:sz="0" w:space="0" w:color="auto"/>
      </w:divBdr>
    </w:div>
    <w:div w:id="1544250794">
      <w:marLeft w:val="0"/>
      <w:marRight w:val="0"/>
      <w:marTop w:val="0"/>
      <w:marBottom w:val="0"/>
      <w:divBdr>
        <w:top w:val="none" w:sz="0" w:space="0" w:color="auto"/>
        <w:left w:val="none" w:sz="0" w:space="0" w:color="auto"/>
        <w:bottom w:val="none" w:sz="0" w:space="0" w:color="auto"/>
        <w:right w:val="none" w:sz="0" w:space="0" w:color="auto"/>
      </w:divBdr>
    </w:div>
    <w:div w:id="1544250804">
      <w:marLeft w:val="0"/>
      <w:marRight w:val="0"/>
      <w:marTop w:val="0"/>
      <w:marBottom w:val="0"/>
      <w:divBdr>
        <w:top w:val="none" w:sz="0" w:space="0" w:color="auto"/>
        <w:left w:val="none" w:sz="0" w:space="0" w:color="auto"/>
        <w:bottom w:val="none" w:sz="0" w:space="0" w:color="auto"/>
        <w:right w:val="none" w:sz="0" w:space="0" w:color="auto"/>
      </w:divBdr>
      <w:divsChild>
        <w:div w:id="1544250754">
          <w:marLeft w:val="120"/>
          <w:marRight w:val="0"/>
          <w:marTop w:val="0"/>
          <w:marBottom w:val="0"/>
          <w:divBdr>
            <w:top w:val="none" w:sz="0" w:space="0" w:color="auto"/>
            <w:left w:val="none" w:sz="0" w:space="0" w:color="auto"/>
            <w:bottom w:val="none" w:sz="0" w:space="0" w:color="auto"/>
            <w:right w:val="none" w:sz="0" w:space="0" w:color="auto"/>
          </w:divBdr>
          <w:divsChild>
            <w:div w:id="1544250799">
              <w:marLeft w:val="0"/>
              <w:marRight w:val="0"/>
              <w:marTop w:val="0"/>
              <w:marBottom w:val="0"/>
              <w:divBdr>
                <w:top w:val="none" w:sz="0" w:space="0" w:color="auto"/>
                <w:left w:val="none" w:sz="0" w:space="0" w:color="auto"/>
                <w:bottom w:val="none" w:sz="0" w:space="0" w:color="auto"/>
                <w:right w:val="none" w:sz="0" w:space="0" w:color="auto"/>
              </w:divBdr>
              <w:divsChild>
                <w:div w:id="1544250807">
                  <w:marLeft w:val="0"/>
                  <w:marRight w:val="0"/>
                  <w:marTop w:val="0"/>
                  <w:marBottom w:val="0"/>
                  <w:divBdr>
                    <w:top w:val="none" w:sz="0" w:space="0" w:color="auto"/>
                    <w:left w:val="none" w:sz="0" w:space="0" w:color="auto"/>
                    <w:bottom w:val="none" w:sz="0" w:space="0" w:color="auto"/>
                    <w:right w:val="none" w:sz="0" w:space="0" w:color="auto"/>
                  </w:divBdr>
                  <w:divsChild>
                    <w:div w:id="1544250763">
                      <w:marLeft w:val="0"/>
                      <w:marRight w:val="0"/>
                      <w:marTop w:val="0"/>
                      <w:marBottom w:val="0"/>
                      <w:divBdr>
                        <w:top w:val="none" w:sz="0" w:space="0" w:color="auto"/>
                        <w:left w:val="none" w:sz="0" w:space="0" w:color="auto"/>
                        <w:bottom w:val="none" w:sz="0" w:space="0" w:color="auto"/>
                        <w:right w:val="none" w:sz="0" w:space="0" w:color="auto"/>
                      </w:divBdr>
                      <w:divsChild>
                        <w:div w:id="15442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50759">
          <w:marLeft w:val="120"/>
          <w:marRight w:val="0"/>
          <w:marTop w:val="0"/>
          <w:marBottom w:val="0"/>
          <w:divBdr>
            <w:top w:val="none" w:sz="0" w:space="0" w:color="auto"/>
            <w:left w:val="none" w:sz="0" w:space="0" w:color="auto"/>
            <w:bottom w:val="none" w:sz="0" w:space="0" w:color="auto"/>
            <w:right w:val="none" w:sz="0" w:space="0" w:color="auto"/>
          </w:divBdr>
          <w:divsChild>
            <w:div w:id="1544250762">
              <w:marLeft w:val="0"/>
              <w:marRight w:val="0"/>
              <w:marTop w:val="0"/>
              <w:marBottom w:val="0"/>
              <w:divBdr>
                <w:top w:val="none" w:sz="0" w:space="0" w:color="auto"/>
                <w:left w:val="none" w:sz="0" w:space="0" w:color="auto"/>
                <w:bottom w:val="none" w:sz="0" w:space="0" w:color="auto"/>
                <w:right w:val="none" w:sz="0" w:space="0" w:color="auto"/>
              </w:divBdr>
              <w:divsChild>
                <w:div w:id="1544250769">
                  <w:marLeft w:val="0"/>
                  <w:marRight w:val="0"/>
                  <w:marTop w:val="0"/>
                  <w:marBottom w:val="0"/>
                  <w:divBdr>
                    <w:top w:val="none" w:sz="0" w:space="0" w:color="auto"/>
                    <w:left w:val="none" w:sz="0" w:space="0" w:color="auto"/>
                    <w:bottom w:val="none" w:sz="0" w:space="0" w:color="auto"/>
                    <w:right w:val="none" w:sz="0" w:space="0" w:color="auto"/>
                  </w:divBdr>
                  <w:divsChild>
                    <w:div w:id="1544250786">
                      <w:marLeft w:val="0"/>
                      <w:marRight w:val="0"/>
                      <w:marTop w:val="0"/>
                      <w:marBottom w:val="0"/>
                      <w:divBdr>
                        <w:top w:val="none" w:sz="0" w:space="0" w:color="auto"/>
                        <w:left w:val="none" w:sz="0" w:space="0" w:color="auto"/>
                        <w:bottom w:val="none" w:sz="0" w:space="0" w:color="auto"/>
                        <w:right w:val="none" w:sz="0" w:space="0" w:color="auto"/>
                      </w:divBdr>
                      <w:divsChild>
                        <w:div w:id="154425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50773">
          <w:marLeft w:val="120"/>
          <w:marRight w:val="0"/>
          <w:marTop w:val="0"/>
          <w:marBottom w:val="0"/>
          <w:divBdr>
            <w:top w:val="none" w:sz="0" w:space="0" w:color="auto"/>
            <w:left w:val="none" w:sz="0" w:space="0" w:color="auto"/>
            <w:bottom w:val="none" w:sz="0" w:space="0" w:color="auto"/>
            <w:right w:val="none" w:sz="0" w:space="0" w:color="auto"/>
          </w:divBdr>
          <w:divsChild>
            <w:div w:id="1544250785">
              <w:marLeft w:val="0"/>
              <w:marRight w:val="0"/>
              <w:marTop w:val="0"/>
              <w:marBottom w:val="0"/>
              <w:divBdr>
                <w:top w:val="none" w:sz="0" w:space="0" w:color="auto"/>
                <w:left w:val="none" w:sz="0" w:space="0" w:color="auto"/>
                <w:bottom w:val="none" w:sz="0" w:space="0" w:color="auto"/>
                <w:right w:val="none" w:sz="0" w:space="0" w:color="auto"/>
              </w:divBdr>
              <w:divsChild>
                <w:div w:id="1544250765">
                  <w:marLeft w:val="0"/>
                  <w:marRight w:val="0"/>
                  <w:marTop w:val="0"/>
                  <w:marBottom w:val="0"/>
                  <w:divBdr>
                    <w:top w:val="none" w:sz="0" w:space="0" w:color="auto"/>
                    <w:left w:val="none" w:sz="0" w:space="0" w:color="auto"/>
                    <w:bottom w:val="none" w:sz="0" w:space="0" w:color="auto"/>
                    <w:right w:val="none" w:sz="0" w:space="0" w:color="auto"/>
                  </w:divBdr>
                  <w:divsChild>
                    <w:div w:id="1544250781">
                      <w:marLeft w:val="0"/>
                      <w:marRight w:val="0"/>
                      <w:marTop w:val="0"/>
                      <w:marBottom w:val="0"/>
                      <w:divBdr>
                        <w:top w:val="none" w:sz="0" w:space="0" w:color="auto"/>
                        <w:left w:val="none" w:sz="0" w:space="0" w:color="auto"/>
                        <w:bottom w:val="none" w:sz="0" w:space="0" w:color="auto"/>
                        <w:right w:val="none" w:sz="0" w:space="0" w:color="auto"/>
                      </w:divBdr>
                      <w:divsChild>
                        <w:div w:id="154425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50775">
          <w:marLeft w:val="120"/>
          <w:marRight w:val="0"/>
          <w:marTop w:val="0"/>
          <w:marBottom w:val="0"/>
          <w:divBdr>
            <w:top w:val="none" w:sz="0" w:space="0" w:color="auto"/>
            <w:left w:val="none" w:sz="0" w:space="0" w:color="auto"/>
            <w:bottom w:val="none" w:sz="0" w:space="0" w:color="auto"/>
            <w:right w:val="none" w:sz="0" w:space="0" w:color="auto"/>
          </w:divBdr>
          <w:divsChild>
            <w:div w:id="1544250793">
              <w:marLeft w:val="0"/>
              <w:marRight w:val="0"/>
              <w:marTop w:val="0"/>
              <w:marBottom w:val="0"/>
              <w:divBdr>
                <w:top w:val="none" w:sz="0" w:space="0" w:color="auto"/>
                <w:left w:val="none" w:sz="0" w:space="0" w:color="auto"/>
                <w:bottom w:val="none" w:sz="0" w:space="0" w:color="auto"/>
                <w:right w:val="none" w:sz="0" w:space="0" w:color="auto"/>
              </w:divBdr>
              <w:divsChild>
                <w:div w:id="1544250802">
                  <w:marLeft w:val="0"/>
                  <w:marRight w:val="0"/>
                  <w:marTop w:val="0"/>
                  <w:marBottom w:val="0"/>
                  <w:divBdr>
                    <w:top w:val="none" w:sz="0" w:space="0" w:color="auto"/>
                    <w:left w:val="none" w:sz="0" w:space="0" w:color="auto"/>
                    <w:bottom w:val="none" w:sz="0" w:space="0" w:color="auto"/>
                    <w:right w:val="none" w:sz="0" w:space="0" w:color="auto"/>
                  </w:divBdr>
                  <w:divsChild>
                    <w:div w:id="1544250772">
                      <w:marLeft w:val="0"/>
                      <w:marRight w:val="0"/>
                      <w:marTop w:val="0"/>
                      <w:marBottom w:val="0"/>
                      <w:divBdr>
                        <w:top w:val="none" w:sz="0" w:space="0" w:color="auto"/>
                        <w:left w:val="none" w:sz="0" w:space="0" w:color="auto"/>
                        <w:bottom w:val="none" w:sz="0" w:space="0" w:color="auto"/>
                        <w:right w:val="none" w:sz="0" w:space="0" w:color="auto"/>
                      </w:divBdr>
                      <w:divsChild>
                        <w:div w:id="154425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50784">
          <w:marLeft w:val="120"/>
          <w:marRight w:val="0"/>
          <w:marTop w:val="0"/>
          <w:marBottom w:val="0"/>
          <w:divBdr>
            <w:top w:val="none" w:sz="0" w:space="0" w:color="auto"/>
            <w:left w:val="none" w:sz="0" w:space="0" w:color="auto"/>
            <w:bottom w:val="none" w:sz="0" w:space="0" w:color="auto"/>
            <w:right w:val="none" w:sz="0" w:space="0" w:color="auto"/>
          </w:divBdr>
          <w:divsChild>
            <w:div w:id="1544250797">
              <w:marLeft w:val="0"/>
              <w:marRight w:val="0"/>
              <w:marTop w:val="0"/>
              <w:marBottom w:val="0"/>
              <w:divBdr>
                <w:top w:val="none" w:sz="0" w:space="0" w:color="auto"/>
                <w:left w:val="none" w:sz="0" w:space="0" w:color="auto"/>
                <w:bottom w:val="none" w:sz="0" w:space="0" w:color="auto"/>
                <w:right w:val="none" w:sz="0" w:space="0" w:color="auto"/>
              </w:divBdr>
              <w:divsChild>
                <w:div w:id="1544250756">
                  <w:marLeft w:val="0"/>
                  <w:marRight w:val="0"/>
                  <w:marTop w:val="0"/>
                  <w:marBottom w:val="0"/>
                  <w:divBdr>
                    <w:top w:val="none" w:sz="0" w:space="0" w:color="auto"/>
                    <w:left w:val="none" w:sz="0" w:space="0" w:color="auto"/>
                    <w:bottom w:val="none" w:sz="0" w:space="0" w:color="auto"/>
                    <w:right w:val="none" w:sz="0" w:space="0" w:color="auto"/>
                  </w:divBdr>
                  <w:divsChild>
                    <w:div w:id="1544250774">
                      <w:marLeft w:val="0"/>
                      <w:marRight w:val="0"/>
                      <w:marTop w:val="0"/>
                      <w:marBottom w:val="0"/>
                      <w:divBdr>
                        <w:top w:val="none" w:sz="0" w:space="0" w:color="auto"/>
                        <w:left w:val="none" w:sz="0" w:space="0" w:color="auto"/>
                        <w:bottom w:val="none" w:sz="0" w:space="0" w:color="auto"/>
                        <w:right w:val="none" w:sz="0" w:space="0" w:color="auto"/>
                      </w:divBdr>
                      <w:divsChild>
                        <w:div w:id="154425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4250805">
      <w:marLeft w:val="0"/>
      <w:marRight w:val="0"/>
      <w:marTop w:val="0"/>
      <w:marBottom w:val="0"/>
      <w:divBdr>
        <w:top w:val="none" w:sz="0" w:space="0" w:color="auto"/>
        <w:left w:val="none" w:sz="0" w:space="0" w:color="auto"/>
        <w:bottom w:val="none" w:sz="0" w:space="0" w:color="auto"/>
        <w:right w:val="none" w:sz="0" w:space="0" w:color="auto"/>
      </w:divBdr>
    </w:div>
    <w:div w:id="15442508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algazeta.com.ua/25-let-donbasskogo-separatizma_-chast-vtoray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mx.ru/geografiya_i_geologiya/diplom_sovremennaya_ukrainskaya.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1499</TotalTime>
  <Pages>22</Pages>
  <Words>5875</Words>
  <Characters>-32766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Sergey</cp:lastModifiedBy>
  <cp:revision>23</cp:revision>
  <cp:lastPrinted>2016-09-09T07:35:00Z</cp:lastPrinted>
  <dcterms:created xsi:type="dcterms:W3CDTF">2016-09-08T08:57:00Z</dcterms:created>
  <dcterms:modified xsi:type="dcterms:W3CDTF">2017-01-01T12:23:00Z</dcterms:modified>
</cp:coreProperties>
</file>