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4"/>
        <w:gridCol w:w="4644"/>
      </w:tblGrid>
      <w:tr w:rsidR="00992C7E" w:rsidRPr="008B7A27" w:rsidTr="00316ECD">
        <w:trPr>
          <w:trHeight w:val="430"/>
        </w:trPr>
        <w:tc>
          <w:tcPr>
            <w:tcW w:w="4644" w:type="dxa"/>
          </w:tcPr>
          <w:p w:rsidR="00992C7E" w:rsidRPr="008B7A27" w:rsidRDefault="00992C7E" w:rsidP="008B7A27">
            <w:pPr>
              <w:shd w:val="clear" w:color="auto" w:fill="FFFFFF"/>
              <w:spacing w:after="0" w:line="240" w:lineRule="auto"/>
              <w:contextualSpacing/>
              <w:rPr>
                <w:rFonts w:ascii="Times New Roman" w:hAnsi="Times New Roman"/>
                <w:sz w:val="20"/>
                <w:szCs w:val="20"/>
                <w:lang w:val="en-US"/>
              </w:rPr>
            </w:pPr>
            <w:r w:rsidRPr="008B7A27">
              <w:rPr>
                <w:rFonts w:ascii="Times New Roman" w:hAnsi="Times New Roman"/>
                <w:sz w:val="20"/>
                <w:szCs w:val="20"/>
              </w:rPr>
              <w:t>УДК 616-006</w:t>
            </w:r>
          </w:p>
        </w:tc>
        <w:tc>
          <w:tcPr>
            <w:tcW w:w="4644" w:type="dxa"/>
          </w:tcPr>
          <w:p w:rsidR="00992C7E" w:rsidRPr="008B7A27" w:rsidRDefault="00992C7E" w:rsidP="008B7A27">
            <w:pPr>
              <w:pStyle w:val="NormalWeb"/>
              <w:spacing w:after="0" w:line="240" w:lineRule="auto"/>
              <w:contextualSpacing/>
              <w:rPr>
                <w:sz w:val="20"/>
                <w:szCs w:val="20"/>
              </w:rPr>
            </w:pPr>
            <w:r w:rsidRPr="008B7A27">
              <w:rPr>
                <w:sz w:val="20"/>
                <w:szCs w:val="20"/>
                <w:lang w:val="en-US"/>
              </w:rPr>
              <w:t>UDC</w:t>
            </w:r>
            <w:r w:rsidRPr="008B7A27">
              <w:rPr>
                <w:sz w:val="20"/>
                <w:szCs w:val="20"/>
              </w:rPr>
              <w:t xml:space="preserve"> 616-006</w:t>
            </w:r>
          </w:p>
        </w:tc>
      </w:tr>
      <w:tr w:rsidR="00992C7E" w:rsidRPr="008B7A27" w:rsidTr="00316ECD">
        <w:trPr>
          <w:trHeight w:val="503"/>
        </w:trPr>
        <w:tc>
          <w:tcPr>
            <w:tcW w:w="4644" w:type="dxa"/>
          </w:tcPr>
          <w:p w:rsidR="00992C7E" w:rsidRPr="00132FE6" w:rsidRDefault="00992C7E" w:rsidP="008B7A27">
            <w:pPr>
              <w:spacing w:after="0" w:line="240" w:lineRule="auto"/>
              <w:rPr>
                <w:rFonts w:ascii="Times New Roman" w:hAnsi="Times New Roman"/>
                <w:sz w:val="20"/>
                <w:szCs w:val="20"/>
              </w:rPr>
            </w:pPr>
            <w:r>
              <w:rPr>
                <w:rFonts w:ascii="Times New Roman" w:hAnsi="Times New Roman"/>
                <w:sz w:val="20"/>
                <w:szCs w:val="20"/>
              </w:rPr>
              <w:t>14.00.</w:t>
            </w:r>
            <w:r w:rsidRPr="008B7A27">
              <w:rPr>
                <w:rFonts w:ascii="Times New Roman" w:hAnsi="Times New Roman"/>
                <w:sz w:val="20"/>
                <w:szCs w:val="20"/>
              </w:rPr>
              <w:t>00 Медицинские науки</w:t>
            </w:r>
          </w:p>
        </w:tc>
        <w:tc>
          <w:tcPr>
            <w:tcW w:w="4644" w:type="dxa"/>
          </w:tcPr>
          <w:p w:rsidR="00992C7E" w:rsidRPr="00132FE6" w:rsidRDefault="00992C7E" w:rsidP="008B7A27">
            <w:pPr>
              <w:spacing w:after="0" w:line="240" w:lineRule="auto"/>
              <w:rPr>
                <w:rFonts w:ascii="Times New Roman" w:hAnsi="Times New Roman"/>
                <w:sz w:val="20"/>
                <w:szCs w:val="20"/>
              </w:rPr>
            </w:pPr>
            <w:r w:rsidRPr="008B7A27">
              <w:rPr>
                <w:rFonts w:ascii="Times New Roman" w:hAnsi="Times New Roman"/>
                <w:sz w:val="20"/>
                <w:szCs w:val="20"/>
                <w:lang w:val="en-US"/>
              </w:rPr>
              <w:t>Medical</w:t>
            </w:r>
            <w:r w:rsidRPr="00132FE6">
              <w:rPr>
                <w:rFonts w:ascii="Times New Roman" w:hAnsi="Times New Roman"/>
                <w:sz w:val="20"/>
                <w:szCs w:val="20"/>
              </w:rPr>
              <w:t xml:space="preserve"> </w:t>
            </w:r>
            <w:r w:rsidRPr="008B7A27">
              <w:rPr>
                <w:rFonts w:ascii="Times New Roman" w:hAnsi="Times New Roman"/>
                <w:sz w:val="20"/>
                <w:szCs w:val="20"/>
                <w:lang w:val="en-US"/>
              </w:rPr>
              <w:t>sciences</w:t>
            </w:r>
          </w:p>
        </w:tc>
      </w:tr>
      <w:tr w:rsidR="00992C7E" w:rsidRPr="00132FE6" w:rsidTr="00316ECD">
        <w:trPr>
          <w:trHeight w:val="968"/>
        </w:trPr>
        <w:tc>
          <w:tcPr>
            <w:tcW w:w="4644" w:type="dxa"/>
          </w:tcPr>
          <w:p w:rsidR="00992C7E" w:rsidRPr="00132FE6" w:rsidRDefault="00992C7E" w:rsidP="008B7A27">
            <w:pPr>
              <w:pStyle w:val="NormalWeb"/>
              <w:spacing w:after="0" w:line="240" w:lineRule="auto"/>
              <w:contextualSpacing/>
              <w:rPr>
                <w:b/>
                <w:sz w:val="20"/>
                <w:szCs w:val="20"/>
              </w:rPr>
            </w:pPr>
            <w:r w:rsidRPr="008B7A27">
              <w:rPr>
                <w:b/>
                <w:sz w:val="20"/>
                <w:szCs w:val="20"/>
              </w:rPr>
              <w:t>СРАВНИТЕЛЬНАЯ ХАРАКТЕРИСТИКА ЦОК У БОЛЬНЫХ КОЛОРЕКТАЛЬНЫМ РАКОМ В ЗАВИСИМОСТИ ОТ ВЫБОРА ОПЕРАТИВНОГО ВМЕШАТЕЛЬСТВА</w:t>
            </w:r>
          </w:p>
          <w:p w:rsidR="00992C7E" w:rsidRPr="00132FE6" w:rsidRDefault="00992C7E" w:rsidP="008B7A27">
            <w:pPr>
              <w:pStyle w:val="NormalWeb"/>
              <w:spacing w:after="0" w:line="240" w:lineRule="auto"/>
              <w:contextualSpacing/>
              <w:rPr>
                <w:b/>
                <w:sz w:val="20"/>
                <w:szCs w:val="20"/>
              </w:rPr>
            </w:pPr>
          </w:p>
        </w:tc>
        <w:tc>
          <w:tcPr>
            <w:tcW w:w="4644" w:type="dxa"/>
          </w:tcPr>
          <w:p w:rsidR="00992C7E" w:rsidRPr="008B7A27" w:rsidRDefault="00992C7E" w:rsidP="008B7A27">
            <w:pPr>
              <w:pStyle w:val="NormalWeb"/>
              <w:spacing w:after="0" w:line="240" w:lineRule="auto"/>
              <w:contextualSpacing/>
              <w:rPr>
                <w:b/>
                <w:sz w:val="20"/>
                <w:szCs w:val="20"/>
                <w:lang w:val="en-US"/>
              </w:rPr>
            </w:pPr>
            <w:r w:rsidRPr="008B7A27">
              <w:rPr>
                <w:b/>
                <w:sz w:val="20"/>
                <w:szCs w:val="20"/>
                <w:lang w:val="en-US"/>
              </w:rPr>
              <w:t>THE COMPARATIVE CHARACTERISTICS OF CTCs IN COLORECTAL CANCER PATIENTS DEPENDING ON THE CHOICE OF SURGICAL INTERVENTION</w:t>
            </w:r>
          </w:p>
        </w:tc>
      </w:tr>
      <w:tr w:rsidR="00992C7E" w:rsidRPr="00132FE6" w:rsidTr="00316ECD">
        <w:trPr>
          <w:trHeight w:val="5196"/>
        </w:trPr>
        <w:tc>
          <w:tcPr>
            <w:tcW w:w="4644" w:type="dxa"/>
          </w:tcPr>
          <w:p w:rsidR="00992C7E" w:rsidRPr="008B7A27" w:rsidRDefault="00992C7E" w:rsidP="008B7A27">
            <w:pPr>
              <w:pStyle w:val="NormalWeb"/>
              <w:spacing w:after="0" w:line="240" w:lineRule="auto"/>
              <w:contextualSpacing/>
              <w:rPr>
                <w:sz w:val="20"/>
                <w:szCs w:val="20"/>
              </w:rPr>
            </w:pPr>
            <w:r w:rsidRPr="008B7A27">
              <w:rPr>
                <w:sz w:val="20"/>
                <w:szCs w:val="20"/>
              </w:rPr>
              <w:t>Кит Олег Иванович</w:t>
            </w:r>
          </w:p>
          <w:p w:rsidR="00992C7E" w:rsidRPr="008B7A27" w:rsidRDefault="00992C7E" w:rsidP="008B7A27">
            <w:pPr>
              <w:pStyle w:val="NormalWeb"/>
              <w:spacing w:after="0" w:line="240" w:lineRule="auto"/>
              <w:contextualSpacing/>
              <w:rPr>
                <w:sz w:val="20"/>
                <w:szCs w:val="20"/>
              </w:rPr>
            </w:pPr>
            <w:r w:rsidRPr="008B7A27">
              <w:rPr>
                <w:sz w:val="20"/>
                <w:szCs w:val="20"/>
              </w:rPr>
              <w:t>д.м.н., профессор, директор</w:t>
            </w:r>
          </w:p>
          <w:p w:rsidR="00992C7E" w:rsidRPr="008B7A27" w:rsidRDefault="00992C7E" w:rsidP="008B7A27">
            <w:pPr>
              <w:pStyle w:val="NormalWeb"/>
              <w:spacing w:after="0" w:line="240" w:lineRule="auto"/>
              <w:contextualSpacing/>
              <w:rPr>
                <w:sz w:val="20"/>
                <w:szCs w:val="20"/>
                <w:lang w:val="en-US"/>
              </w:rPr>
            </w:pPr>
            <w:r w:rsidRPr="008B7A27">
              <w:rPr>
                <w:sz w:val="20"/>
                <w:szCs w:val="20"/>
              </w:rPr>
              <w:t>РИНЦ</w:t>
            </w:r>
            <w:r w:rsidRPr="008B7A27">
              <w:rPr>
                <w:sz w:val="20"/>
                <w:szCs w:val="20"/>
                <w:lang w:val="en-US"/>
              </w:rPr>
              <w:t xml:space="preserve"> SPIN-</w:t>
            </w:r>
            <w:r w:rsidRPr="008B7A27">
              <w:rPr>
                <w:sz w:val="20"/>
                <w:szCs w:val="20"/>
              </w:rPr>
              <w:t>код</w:t>
            </w:r>
            <w:r w:rsidRPr="008B7A27">
              <w:rPr>
                <w:sz w:val="20"/>
                <w:szCs w:val="20"/>
                <w:lang w:val="en-US"/>
              </w:rPr>
              <w:t>: 1728-0329</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Scopus ID: 55994103100</w:t>
            </w:r>
          </w:p>
          <w:p w:rsidR="00992C7E" w:rsidRPr="008B7A27" w:rsidRDefault="00992C7E" w:rsidP="008B7A27">
            <w:pPr>
              <w:pStyle w:val="NormalWeb"/>
              <w:spacing w:after="0" w:line="240" w:lineRule="auto"/>
              <w:contextualSpacing/>
              <w:rPr>
                <w:sz w:val="20"/>
                <w:szCs w:val="20"/>
                <w:lang w:val="en-US"/>
              </w:rPr>
            </w:pPr>
          </w:p>
          <w:p w:rsidR="00992C7E" w:rsidRPr="008B7A27" w:rsidRDefault="00992C7E" w:rsidP="008B7A27">
            <w:pPr>
              <w:pStyle w:val="NormalWeb"/>
              <w:spacing w:after="0" w:line="240" w:lineRule="auto"/>
              <w:contextualSpacing/>
              <w:rPr>
                <w:sz w:val="20"/>
                <w:szCs w:val="20"/>
              </w:rPr>
            </w:pPr>
            <w:r w:rsidRPr="008B7A27">
              <w:rPr>
                <w:sz w:val="20"/>
                <w:szCs w:val="20"/>
              </w:rPr>
              <w:t>Колесников Владимир Евгеньевич</w:t>
            </w:r>
          </w:p>
          <w:p w:rsidR="00992C7E" w:rsidRPr="008B7A27" w:rsidRDefault="00992C7E" w:rsidP="008B7A27">
            <w:pPr>
              <w:pStyle w:val="NormalWeb"/>
              <w:spacing w:after="0" w:line="240" w:lineRule="auto"/>
              <w:contextualSpacing/>
              <w:rPr>
                <w:sz w:val="20"/>
                <w:szCs w:val="20"/>
              </w:rPr>
            </w:pPr>
            <w:r w:rsidRPr="008B7A27">
              <w:rPr>
                <w:sz w:val="20"/>
                <w:szCs w:val="20"/>
              </w:rPr>
              <w:t>к.м.н., хирург-онколог</w:t>
            </w:r>
          </w:p>
          <w:p w:rsidR="00992C7E" w:rsidRPr="008B7A27" w:rsidRDefault="00992C7E" w:rsidP="008B7A27">
            <w:pPr>
              <w:pStyle w:val="NormalWeb"/>
              <w:spacing w:after="0" w:line="240" w:lineRule="auto"/>
              <w:contextualSpacing/>
              <w:rPr>
                <w:sz w:val="20"/>
                <w:szCs w:val="20"/>
              </w:rPr>
            </w:pPr>
            <w:r w:rsidRPr="008B7A27">
              <w:rPr>
                <w:sz w:val="20"/>
                <w:szCs w:val="20"/>
              </w:rPr>
              <w:t xml:space="preserve">РИНЦ </w:t>
            </w:r>
            <w:r w:rsidRPr="008B7A27">
              <w:rPr>
                <w:sz w:val="20"/>
                <w:szCs w:val="20"/>
                <w:lang w:val="en-US"/>
              </w:rPr>
              <w:t>SPIN</w:t>
            </w:r>
            <w:r w:rsidRPr="008B7A27">
              <w:rPr>
                <w:sz w:val="20"/>
                <w:szCs w:val="20"/>
              </w:rPr>
              <w:t>-код:  9915-0578</w:t>
            </w:r>
          </w:p>
          <w:p w:rsidR="00992C7E" w:rsidRPr="008B7A27" w:rsidRDefault="00992C7E" w:rsidP="008B7A27">
            <w:pPr>
              <w:pStyle w:val="NormalWeb"/>
              <w:spacing w:after="0" w:line="240" w:lineRule="auto"/>
              <w:contextualSpacing/>
              <w:rPr>
                <w:sz w:val="20"/>
                <w:szCs w:val="20"/>
              </w:rPr>
            </w:pPr>
          </w:p>
          <w:p w:rsidR="00992C7E" w:rsidRPr="008B7A27" w:rsidRDefault="00992C7E" w:rsidP="008B7A27">
            <w:pPr>
              <w:pStyle w:val="NormalWeb"/>
              <w:spacing w:after="0" w:line="240" w:lineRule="auto"/>
              <w:contextualSpacing/>
              <w:rPr>
                <w:sz w:val="20"/>
                <w:szCs w:val="20"/>
              </w:rPr>
            </w:pPr>
            <w:r w:rsidRPr="008B7A27">
              <w:rPr>
                <w:sz w:val="20"/>
                <w:szCs w:val="20"/>
              </w:rPr>
              <w:t>Новикова Инна Арнольдовна</w:t>
            </w:r>
          </w:p>
          <w:p w:rsidR="00992C7E" w:rsidRPr="008B7A27" w:rsidRDefault="00992C7E" w:rsidP="008B7A27">
            <w:pPr>
              <w:pStyle w:val="NormalWeb"/>
              <w:spacing w:after="0" w:line="240" w:lineRule="auto"/>
              <w:contextualSpacing/>
              <w:rPr>
                <w:sz w:val="20"/>
                <w:szCs w:val="20"/>
              </w:rPr>
            </w:pPr>
            <w:r w:rsidRPr="008B7A27">
              <w:rPr>
                <w:sz w:val="20"/>
                <w:szCs w:val="20"/>
              </w:rPr>
              <w:t>к.м.н., руководитель лаборатории</w:t>
            </w:r>
          </w:p>
          <w:p w:rsidR="00992C7E" w:rsidRPr="008B7A27" w:rsidRDefault="00992C7E" w:rsidP="008B7A27">
            <w:pPr>
              <w:pStyle w:val="NormalWeb"/>
              <w:spacing w:after="0" w:line="240" w:lineRule="auto"/>
              <w:contextualSpacing/>
              <w:rPr>
                <w:sz w:val="20"/>
                <w:szCs w:val="20"/>
              </w:rPr>
            </w:pPr>
            <w:r w:rsidRPr="008B7A27">
              <w:rPr>
                <w:sz w:val="20"/>
                <w:szCs w:val="20"/>
              </w:rPr>
              <w:t xml:space="preserve">РИНЦ </w:t>
            </w:r>
            <w:r w:rsidRPr="008B7A27">
              <w:rPr>
                <w:sz w:val="20"/>
                <w:szCs w:val="20"/>
                <w:lang w:val="en-US"/>
              </w:rPr>
              <w:t>SPIN</w:t>
            </w:r>
            <w:r w:rsidRPr="008B7A27">
              <w:rPr>
                <w:sz w:val="20"/>
                <w:szCs w:val="20"/>
              </w:rPr>
              <w:t>-код: 4810-2424</w:t>
            </w:r>
          </w:p>
          <w:p w:rsidR="00992C7E" w:rsidRPr="008B7A27" w:rsidRDefault="00992C7E" w:rsidP="008B7A27">
            <w:pPr>
              <w:pStyle w:val="NormalWeb"/>
              <w:spacing w:after="0" w:line="240" w:lineRule="auto"/>
              <w:contextualSpacing/>
              <w:rPr>
                <w:sz w:val="20"/>
                <w:szCs w:val="20"/>
              </w:rPr>
            </w:pPr>
            <w:r w:rsidRPr="008B7A27">
              <w:rPr>
                <w:sz w:val="20"/>
                <w:szCs w:val="20"/>
                <w:lang w:val="en-US"/>
              </w:rPr>
              <w:t>Scopus</w:t>
            </w:r>
            <w:r w:rsidRPr="008B7A27">
              <w:rPr>
                <w:sz w:val="20"/>
                <w:szCs w:val="20"/>
              </w:rPr>
              <w:t> ID: 7005153343</w:t>
            </w:r>
          </w:p>
          <w:p w:rsidR="00992C7E" w:rsidRPr="008B7A27" w:rsidRDefault="00992C7E" w:rsidP="008B7A27">
            <w:pPr>
              <w:pStyle w:val="NormalWeb"/>
              <w:spacing w:after="0" w:line="240" w:lineRule="auto"/>
              <w:contextualSpacing/>
              <w:rPr>
                <w:sz w:val="20"/>
                <w:szCs w:val="20"/>
              </w:rPr>
            </w:pPr>
          </w:p>
          <w:p w:rsidR="00992C7E" w:rsidRPr="008B7A27" w:rsidRDefault="00992C7E" w:rsidP="008B7A27">
            <w:pPr>
              <w:pStyle w:val="NormalWeb"/>
              <w:spacing w:after="0" w:line="240" w:lineRule="auto"/>
              <w:contextualSpacing/>
              <w:rPr>
                <w:sz w:val="20"/>
                <w:szCs w:val="20"/>
              </w:rPr>
            </w:pPr>
            <w:r w:rsidRPr="008B7A27">
              <w:rPr>
                <w:sz w:val="20"/>
                <w:szCs w:val="20"/>
              </w:rPr>
              <w:t>Гранкина Анастасия Олеговна</w:t>
            </w:r>
          </w:p>
          <w:p w:rsidR="00992C7E" w:rsidRPr="008B7A27" w:rsidRDefault="00992C7E" w:rsidP="008B7A27">
            <w:pPr>
              <w:pStyle w:val="NormalWeb"/>
              <w:spacing w:after="0" w:line="240" w:lineRule="auto"/>
              <w:contextualSpacing/>
              <w:rPr>
                <w:sz w:val="20"/>
                <w:szCs w:val="20"/>
              </w:rPr>
            </w:pPr>
            <w:r w:rsidRPr="008B7A27">
              <w:rPr>
                <w:sz w:val="20"/>
                <w:szCs w:val="20"/>
              </w:rPr>
              <w:t>младший научный сотрудник</w:t>
            </w:r>
          </w:p>
          <w:p w:rsidR="00992C7E" w:rsidRPr="008B7A27" w:rsidRDefault="00992C7E" w:rsidP="008B7A27">
            <w:pPr>
              <w:pStyle w:val="NormalWeb"/>
              <w:spacing w:after="0" w:line="240" w:lineRule="auto"/>
              <w:contextualSpacing/>
              <w:rPr>
                <w:sz w:val="20"/>
                <w:szCs w:val="20"/>
                <w:lang w:val="en-US"/>
              </w:rPr>
            </w:pPr>
            <w:r w:rsidRPr="008B7A27">
              <w:rPr>
                <w:sz w:val="20"/>
                <w:szCs w:val="20"/>
              </w:rPr>
              <w:t>РИНЦ</w:t>
            </w:r>
            <w:r w:rsidRPr="008B7A27">
              <w:rPr>
                <w:sz w:val="20"/>
                <w:szCs w:val="20"/>
                <w:lang w:val="en-US"/>
              </w:rPr>
              <w:t xml:space="preserve"> SPIN-</w:t>
            </w:r>
            <w:r w:rsidRPr="008B7A27">
              <w:rPr>
                <w:sz w:val="20"/>
                <w:szCs w:val="20"/>
              </w:rPr>
              <w:t>код</w:t>
            </w:r>
            <w:r w:rsidRPr="008B7A27">
              <w:rPr>
                <w:sz w:val="20"/>
                <w:szCs w:val="20"/>
                <w:lang w:val="en-US"/>
              </w:rPr>
              <w:t>: 1659-6976</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Scopus ID: 56381527400</w:t>
            </w:r>
          </w:p>
          <w:p w:rsidR="00992C7E" w:rsidRPr="008B7A27" w:rsidRDefault="00992C7E" w:rsidP="008B7A27">
            <w:pPr>
              <w:pStyle w:val="NormalWeb"/>
              <w:spacing w:after="0" w:line="240" w:lineRule="auto"/>
              <w:contextualSpacing/>
              <w:rPr>
                <w:sz w:val="20"/>
                <w:szCs w:val="20"/>
                <w:lang w:val="en-US"/>
              </w:rPr>
            </w:pPr>
          </w:p>
          <w:p w:rsidR="00992C7E" w:rsidRPr="008B7A27" w:rsidRDefault="00992C7E" w:rsidP="008B7A27">
            <w:pPr>
              <w:pStyle w:val="NormalWeb"/>
              <w:spacing w:after="0" w:line="240" w:lineRule="auto"/>
              <w:contextualSpacing/>
              <w:rPr>
                <w:sz w:val="20"/>
                <w:szCs w:val="20"/>
              </w:rPr>
            </w:pPr>
            <w:r w:rsidRPr="008B7A27">
              <w:rPr>
                <w:sz w:val="20"/>
                <w:szCs w:val="20"/>
              </w:rPr>
              <w:t>Геворкян Юрий Артушевич</w:t>
            </w:r>
          </w:p>
          <w:p w:rsidR="00992C7E" w:rsidRPr="008B7A27" w:rsidRDefault="00992C7E" w:rsidP="008B7A27">
            <w:pPr>
              <w:pStyle w:val="NormalWeb"/>
              <w:spacing w:after="0" w:line="240" w:lineRule="auto"/>
              <w:contextualSpacing/>
              <w:rPr>
                <w:sz w:val="20"/>
                <w:szCs w:val="20"/>
              </w:rPr>
            </w:pPr>
            <w:r w:rsidRPr="008B7A27">
              <w:rPr>
                <w:sz w:val="20"/>
                <w:szCs w:val="20"/>
              </w:rPr>
              <w:t>д.м.н., профессор, заведующий отделением</w:t>
            </w:r>
          </w:p>
          <w:p w:rsidR="00992C7E" w:rsidRPr="008B7A27" w:rsidRDefault="00992C7E" w:rsidP="008B7A27">
            <w:pPr>
              <w:pStyle w:val="NormalWeb"/>
              <w:spacing w:after="0" w:line="240" w:lineRule="auto"/>
              <w:contextualSpacing/>
              <w:rPr>
                <w:sz w:val="20"/>
                <w:szCs w:val="20"/>
                <w:lang w:val="en-US"/>
              </w:rPr>
            </w:pPr>
            <w:r w:rsidRPr="008B7A27">
              <w:rPr>
                <w:sz w:val="20"/>
                <w:szCs w:val="20"/>
              </w:rPr>
              <w:t>РИНЦ</w:t>
            </w:r>
            <w:r w:rsidRPr="008B7A27">
              <w:rPr>
                <w:sz w:val="20"/>
                <w:szCs w:val="20"/>
                <w:lang w:val="en-US"/>
              </w:rPr>
              <w:t xml:space="preserve"> SPIN-</w:t>
            </w:r>
            <w:r w:rsidRPr="008B7A27">
              <w:rPr>
                <w:sz w:val="20"/>
                <w:szCs w:val="20"/>
              </w:rPr>
              <w:t>код</w:t>
            </w:r>
            <w:r w:rsidRPr="008B7A27">
              <w:rPr>
                <w:sz w:val="20"/>
                <w:szCs w:val="20"/>
                <w:lang w:val="en-US"/>
              </w:rPr>
              <w:t>: 8643-2348</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Scopus ID: 56879189300</w:t>
            </w:r>
          </w:p>
          <w:p w:rsidR="00992C7E" w:rsidRPr="008B7A27" w:rsidRDefault="00992C7E" w:rsidP="008B7A27">
            <w:pPr>
              <w:pStyle w:val="NormalWeb"/>
              <w:spacing w:after="0" w:line="240" w:lineRule="auto"/>
              <w:contextualSpacing/>
              <w:rPr>
                <w:sz w:val="20"/>
                <w:szCs w:val="20"/>
                <w:lang w:val="en-US"/>
              </w:rPr>
            </w:pPr>
          </w:p>
          <w:p w:rsidR="00992C7E" w:rsidRPr="008B7A27" w:rsidRDefault="00992C7E" w:rsidP="008B7A27">
            <w:pPr>
              <w:pStyle w:val="NormalWeb"/>
              <w:spacing w:after="0" w:line="240" w:lineRule="auto"/>
              <w:contextualSpacing/>
              <w:rPr>
                <w:sz w:val="20"/>
                <w:szCs w:val="20"/>
              </w:rPr>
            </w:pPr>
            <w:r w:rsidRPr="008B7A27">
              <w:rPr>
                <w:sz w:val="20"/>
                <w:szCs w:val="20"/>
              </w:rPr>
              <w:t>Максимов Алексей Юрьевич</w:t>
            </w:r>
          </w:p>
          <w:p w:rsidR="00992C7E" w:rsidRPr="008B7A27" w:rsidRDefault="00992C7E" w:rsidP="008B7A27">
            <w:pPr>
              <w:pStyle w:val="NormalWeb"/>
              <w:spacing w:after="0" w:line="240" w:lineRule="auto"/>
              <w:contextualSpacing/>
              <w:rPr>
                <w:sz w:val="20"/>
                <w:szCs w:val="20"/>
              </w:rPr>
            </w:pPr>
            <w:r w:rsidRPr="008B7A27">
              <w:rPr>
                <w:sz w:val="20"/>
                <w:szCs w:val="20"/>
              </w:rPr>
              <w:t>д.м.н., профессор, заместитель директора</w:t>
            </w:r>
          </w:p>
          <w:p w:rsidR="00992C7E" w:rsidRPr="008B7A27" w:rsidRDefault="00992C7E" w:rsidP="008B7A27">
            <w:pPr>
              <w:pStyle w:val="NormalWeb"/>
              <w:spacing w:after="0" w:line="240" w:lineRule="auto"/>
              <w:contextualSpacing/>
              <w:rPr>
                <w:sz w:val="20"/>
                <w:szCs w:val="20"/>
              </w:rPr>
            </w:pPr>
            <w:r w:rsidRPr="008B7A27">
              <w:rPr>
                <w:sz w:val="20"/>
                <w:szCs w:val="20"/>
              </w:rPr>
              <w:t xml:space="preserve">РИНЦ </w:t>
            </w:r>
            <w:r w:rsidRPr="008B7A27">
              <w:rPr>
                <w:sz w:val="20"/>
                <w:szCs w:val="20"/>
                <w:lang w:val="en-US"/>
              </w:rPr>
              <w:t>SPIN</w:t>
            </w:r>
            <w:r w:rsidRPr="008B7A27">
              <w:rPr>
                <w:sz w:val="20"/>
                <w:szCs w:val="20"/>
              </w:rPr>
              <w:t xml:space="preserve">-код: 7322-5589 </w:t>
            </w:r>
          </w:p>
          <w:p w:rsidR="00992C7E" w:rsidRPr="008B7A27" w:rsidRDefault="00992C7E" w:rsidP="008B7A27">
            <w:pPr>
              <w:pStyle w:val="NormalWeb"/>
              <w:spacing w:after="0" w:line="240" w:lineRule="auto"/>
              <w:contextualSpacing/>
              <w:rPr>
                <w:i/>
                <w:iCs/>
                <w:sz w:val="20"/>
                <w:szCs w:val="20"/>
              </w:rPr>
            </w:pPr>
            <w:r w:rsidRPr="008B7A27">
              <w:rPr>
                <w:i/>
                <w:iCs/>
                <w:sz w:val="20"/>
                <w:szCs w:val="20"/>
              </w:rPr>
              <w:t>ФГБУ "Ростовский научно-исследовательский онкологический институт" Министерства здравоохранения РФ, Россия, Ростов-на-Дону, ул. 14-я линия, 63</w:t>
            </w:r>
          </w:p>
          <w:p w:rsidR="00992C7E" w:rsidRPr="008B7A27" w:rsidRDefault="00992C7E" w:rsidP="008B7A27">
            <w:pPr>
              <w:pStyle w:val="NormalWeb"/>
              <w:spacing w:after="0" w:line="240" w:lineRule="auto"/>
              <w:contextualSpacing/>
              <w:rPr>
                <w:color w:val="FF0000"/>
                <w:sz w:val="20"/>
                <w:szCs w:val="20"/>
              </w:rPr>
            </w:pPr>
          </w:p>
        </w:tc>
        <w:tc>
          <w:tcPr>
            <w:tcW w:w="4644" w:type="dxa"/>
          </w:tcPr>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 xml:space="preserve">Kit Oleg Ivanovich </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 xml:space="preserve">Dr. Sci. Med., professor, director </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RSCI SPIN code: 1728-0329</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Scopus ID: 55994103100</w:t>
            </w:r>
          </w:p>
          <w:p w:rsidR="00992C7E" w:rsidRPr="008B7A27" w:rsidRDefault="00992C7E" w:rsidP="008B7A27">
            <w:pPr>
              <w:pStyle w:val="NormalWeb"/>
              <w:spacing w:after="0" w:line="240" w:lineRule="auto"/>
              <w:contextualSpacing/>
              <w:rPr>
                <w:sz w:val="20"/>
                <w:szCs w:val="20"/>
                <w:lang w:val="en-US"/>
              </w:rPr>
            </w:pP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Kolesnikov Vladimir Evgen</w:t>
            </w:r>
            <w:r>
              <w:rPr>
                <w:sz w:val="20"/>
                <w:szCs w:val="20"/>
                <w:lang w:val="en-US"/>
              </w:rPr>
              <w:t>i</w:t>
            </w:r>
            <w:r w:rsidRPr="008B7A27">
              <w:rPr>
                <w:sz w:val="20"/>
                <w:szCs w:val="20"/>
                <w:lang w:val="en-US"/>
              </w:rPr>
              <w:t>evich</w:t>
            </w:r>
          </w:p>
          <w:p w:rsidR="00992C7E" w:rsidRPr="008B7A27" w:rsidRDefault="00992C7E" w:rsidP="008B7A27">
            <w:pPr>
              <w:pStyle w:val="NormalWeb"/>
              <w:spacing w:after="0" w:line="240" w:lineRule="auto"/>
              <w:contextualSpacing/>
              <w:rPr>
                <w:sz w:val="20"/>
                <w:szCs w:val="20"/>
                <w:lang w:val="en-US"/>
              </w:rPr>
            </w:pPr>
            <w:r>
              <w:rPr>
                <w:sz w:val="20"/>
                <w:szCs w:val="20"/>
                <w:lang w:val="en-US"/>
              </w:rPr>
              <w:t>Cand.Med.Sci.,</w:t>
            </w:r>
            <w:r w:rsidRPr="008B7A27">
              <w:rPr>
                <w:sz w:val="20"/>
                <w:szCs w:val="20"/>
                <w:lang w:val="en-US"/>
              </w:rPr>
              <w:t xml:space="preserve"> oncologist</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RSCI SPIN-code: 9915-0578</w:t>
            </w:r>
          </w:p>
          <w:p w:rsidR="00992C7E" w:rsidRPr="008B7A27" w:rsidRDefault="00992C7E" w:rsidP="008B7A27">
            <w:pPr>
              <w:pStyle w:val="NormalWeb"/>
              <w:spacing w:after="0" w:line="240" w:lineRule="auto"/>
              <w:contextualSpacing/>
              <w:rPr>
                <w:sz w:val="20"/>
                <w:szCs w:val="20"/>
                <w:lang w:val="en-US"/>
              </w:rPr>
            </w:pP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Novikova Inna Arnoldovna</w:t>
            </w:r>
          </w:p>
          <w:p w:rsidR="00992C7E" w:rsidRPr="008B7A27" w:rsidRDefault="00992C7E" w:rsidP="008B7A27">
            <w:pPr>
              <w:pStyle w:val="NormalWeb"/>
              <w:spacing w:after="0" w:line="240" w:lineRule="auto"/>
              <w:contextualSpacing/>
              <w:rPr>
                <w:sz w:val="20"/>
                <w:szCs w:val="20"/>
                <w:lang w:val="en-US"/>
              </w:rPr>
            </w:pPr>
            <w:r>
              <w:rPr>
                <w:sz w:val="20"/>
                <w:szCs w:val="20"/>
                <w:lang w:val="en-US"/>
              </w:rPr>
              <w:t>Cand.Med.Sci.,</w:t>
            </w:r>
            <w:r w:rsidRPr="008B7A27">
              <w:rPr>
                <w:sz w:val="20"/>
                <w:szCs w:val="20"/>
                <w:lang w:val="en-US"/>
              </w:rPr>
              <w:t xml:space="preserve"> head of  laboratory</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RSCI SPIN-code: 4810-2424</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Scopus ID: 7005153343</w:t>
            </w:r>
          </w:p>
          <w:p w:rsidR="00992C7E" w:rsidRPr="008B7A27" w:rsidRDefault="00992C7E" w:rsidP="008B7A27">
            <w:pPr>
              <w:pStyle w:val="NormalWeb"/>
              <w:spacing w:after="0" w:line="240" w:lineRule="auto"/>
              <w:contextualSpacing/>
              <w:rPr>
                <w:sz w:val="20"/>
                <w:szCs w:val="20"/>
                <w:lang w:val="en-US"/>
              </w:rPr>
            </w:pP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Grankina Anastasiya Olegovna                              junior researcher</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RSCI SPIN-code: 1659-6976</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Scopus ID: 56381527400</w:t>
            </w:r>
          </w:p>
          <w:p w:rsidR="00992C7E" w:rsidRPr="008B7A27" w:rsidRDefault="00992C7E" w:rsidP="008B7A27">
            <w:pPr>
              <w:pStyle w:val="NormalWeb"/>
              <w:spacing w:after="0" w:line="240" w:lineRule="auto"/>
              <w:contextualSpacing/>
              <w:rPr>
                <w:color w:val="FF0000"/>
                <w:sz w:val="20"/>
                <w:szCs w:val="20"/>
                <w:lang w:val="en-US"/>
              </w:rPr>
            </w:pP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Gevorkyan Yury Artushevich</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Dr. Sci. Med., professor, head of department</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RSCI SPIN-code: 8643-2348</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Scopus ID:  56879189300</w:t>
            </w:r>
          </w:p>
          <w:p w:rsidR="00992C7E" w:rsidRPr="008B7A27" w:rsidRDefault="00992C7E" w:rsidP="008B7A27">
            <w:pPr>
              <w:pStyle w:val="NormalWeb"/>
              <w:spacing w:after="0" w:line="240" w:lineRule="auto"/>
              <w:contextualSpacing/>
              <w:rPr>
                <w:sz w:val="20"/>
                <w:szCs w:val="20"/>
                <w:lang w:val="en-US"/>
              </w:rPr>
            </w:pP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Maksimov Aleksey Yurievich</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Dr. Sci. Med., professor, deputy director</w:t>
            </w:r>
          </w:p>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RSCI SPIN-code: 7322-5589</w:t>
            </w:r>
          </w:p>
          <w:p w:rsidR="00992C7E" w:rsidRPr="008B7A27" w:rsidRDefault="00992C7E" w:rsidP="008B7A27">
            <w:pPr>
              <w:pStyle w:val="NormalWeb"/>
              <w:spacing w:after="0" w:line="240" w:lineRule="auto"/>
              <w:contextualSpacing/>
              <w:rPr>
                <w:i/>
                <w:sz w:val="20"/>
                <w:szCs w:val="20"/>
                <w:lang w:val="en-US"/>
              </w:rPr>
            </w:pPr>
            <w:r w:rsidRPr="008B7A27">
              <w:rPr>
                <w:i/>
                <w:sz w:val="20"/>
                <w:szCs w:val="20"/>
                <w:lang w:val="en-US"/>
              </w:rPr>
              <w:t>Federal State Budgetary Institution "Rostov Cancer Research Institute", of the Ministry of Health of the Russian Federation, Russia, 344037, Rostov-on-Don, str. 14-line 63</w:t>
            </w:r>
          </w:p>
          <w:p w:rsidR="00992C7E" w:rsidRPr="008B7A27" w:rsidRDefault="00992C7E" w:rsidP="008B7A27">
            <w:pPr>
              <w:pStyle w:val="NormalWeb"/>
              <w:spacing w:after="0" w:line="240" w:lineRule="auto"/>
              <w:contextualSpacing/>
              <w:rPr>
                <w:color w:val="FF0000"/>
                <w:sz w:val="20"/>
                <w:szCs w:val="20"/>
                <w:lang w:val="en-US"/>
              </w:rPr>
            </w:pPr>
            <w:r w:rsidRPr="008B7A27">
              <w:rPr>
                <w:color w:val="FF0000"/>
                <w:sz w:val="20"/>
                <w:szCs w:val="20"/>
                <w:lang w:val="en-US"/>
              </w:rPr>
              <w:t xml:space="preserve"> </w:t>
            </w:r>
          </w:p>
        </w:tc>
      </w:tr>
      <w:tr w:rsidR="00992C7E" w:rsidRPr="00132FE6" w:rsidTr="00316ECD">
        <w:trPr>
          <w:trHeight w:val="693"/>
        </w:trPr>
        <w:tc>
          <w:tcPr>
            <w:tcW w:w="4644" w:type="dxa"/>
          </w:tcPr>
          <w:p w:rsidR="00992C7E" w:rsidRPr="008B7A27" w:rsidRDefault="00992C7E" w:rsidP="008B7A27">
            <w:pPr>
              <w:pStyle w:val="NormalWeb"/>
              <w:spacing w:after="0" w:line="240" w:lineRule="auto"/>
              <w:contextualSpacing/>
              <w:rPr>
                <w:sz w:val="20"/>
                <w:szCs w:val="20"/>
              </w:rPr>
            </w:pPr>
            <w:r w:rsidRPr="008B7A27">
              <w:rPr>
                <w:sz w:val="20"/>
                <w:szCs w:val="20"/>
              </w:rPr>
              <w:t>Смертность от злокачественных заболеваний напрямую связана с ранним метастазированием и развитием рецидивов. В настоящее время стало возможным определение единичных опухолевых клеток в биоптатах костного мозга и периферической крови. Колоректальный рак занимает одно из ведущих мест в структуре онкологической заболеваемости и смертности, как в России, так и во всем мире. Исследования показали, что после операций увеличивается способность опухолевых клеток к имплантации и диссеминации. В работу были включены 30 пациентов по поводу верифицированного рака толстой кишки с метастазированием в печень. Для определения ЦОК применялась технология анализа в системе CellSearch System™ (Janssen Diagnostics, LLC). Проведенное нами исследование количества и  частоты выявления циркулирующих опухолевых клеток в периферической крови больных основной и контрольной групп наглядно демонстрирует уменьшение количества ЦОК при проведении лапароскопических вмешательств и изменение динамики уровня опухолевых клеток в виде их снижения начиная с этапа мобилизации препарата за счет малотравматичного доступа, минимизации манипуляций в проекции опухоли и как, следствие, препятствию выхода в кровяное ру</w:t>
            </w:r>
            <w:r>
              <w:rPr>
                <w:sz w:val="20"/>
                <w:szCs w:val="20"/>
              </w:rPr>
              <w:t>сло единичных опухолевых клеток</w:t>
            </w:r>
          </w:p>
          <w:p w:rsidR="00992C7E" w:rsidRPr="008B7A27" w:rsidRDefault="00992C7E" w:rsidP="008B7A27">
            <w:pPr>
              <w:pStyle w:val="NormalWeb"/>
              <w:spacing w:after="0" w:line="240" w:lineRule="auto"/>
              <w:contextualSpacing/>
              <w:rPr>
                <w:color w:val="FF0000"/>
                <w:sz w:val="20"/>
                <w:szCs w:val="20"/>
              </w:rPr>
            </w:pPr>
          </w:p>
        </w:tc>
        <w:tc>
          <w:tcPr>
            <w:tcW w:w="4644" w:type="dxa"/>
          </w:tcPr>
          <w:p w:rsidR="00992C7E" w:rsidRPr="008B7A27" w:rsidRDefault="00992C7E" w:rsidP="008B7A27">
            <w:pPr>
              <w:pStyle w:val="NormalWeb"/>
              <w:spacing w:after="0" w:line="240" w:lineRule="auto"/>
              <w:contextualSpacing/>
              <w:rPr>
                <w:color w:val="FF0000"/>
                <w:sz w:val="20"/>
                <w:szCs w:val="20"/>
                <w:lang w:val="en-US"/>
              </w:rPr>
            </w:pPr>
            <w:r w:rsidRPr="008B7A27">
              <w:rPr>
                <w:sz w:val="20"/>
                <w:szCs w:val="20"/>
                <w:lang w:val="en-US"/>
              </w:rPr>
              <w:t>Mortality from malignant diseases</w:t>
            </w:r>
            <w:r>
              <w:rPr>
                <w:sz w:val="20"/>
                <w:szCs w:val="20"/>
                <w:lang w:val="en-US"/>
              </w:rPr>
              <w:t xml:space="preserve"> is</w:t>
            </w:r>
            <w:r w:rsidRPr="008B7A27">
              <w:rPr>
                <w:sz w:val="20"/>
                <w:szCs w:val="20"/>
                <w:lang w:val="en-US"/>
              </w:rPr>
              <w:t xml:space="preserve"> directly linked to early metastasis and relapse. It is now possible to identify individual tumor cells in bone marrow biopsies and peripheral blood. Colorectal cancer is one of the leading places in the structure of cancer incidence and mortality, both in </w:t>
            </w:r>
            <w:smartTag w:uri="urn:schemas-microsoft-com:office:smarttags" w:element="country-region">
              <w:smartTag w:uri="urn:schemas-microsoft-com:office:smarttags" w:element="place">
                <w:r w:rsidRPr="008B7A27">
                  <w:rPr>
                    <w:sz w:val="20"/>
                    <w:szCs w:val="20"/>
                    <w:lang w:val="en-US"/>
                  </w:rPr>
                  <w:t>Russia</w:t>
                </w:r>
              </w:smartTag>
            </w:smartTag>
            <w:r w:rsidRPr="008B7A27">
              <w:rPr>
                <w:sz w:val="20"/>
                <w:szCs w:val="20"/>
                <w:lang w:val="en-US"/>
              </w:rPr>
              <w:t xml:space="preserve"> and around the world. Studies have shown that after surgery the ability of tumor cells to the dissemination and implantation increases. The work </w:t>
            </w:r>
            <w:r>
              <w:rPr>
                <w:sz w:val="20"/>
                <w:szCs w:val="20"/>
                <w:lang w:val="en-US"/>
              </w:rPr>
              <w:t xml:space="preserve">contains </w:t>
            </w:r>
            <w:r w:rsidRPr="008B7A27">
              <w:rPr>
                <w:sz w:val="20"/>
                <w:szCs w:val="20"/>
                <w:lang w:val="en-US"/>
              </w:rPr>
              <w:t xml:space="preserve">30 patients </w:t>
            </w:r>
            <w:r>
              <w:rPr>
                <w:sz w:val="20"/>
                <w:szCs w:val="20"/>
                <w:lang w:val="en-US"/>
              </w:rPr>
              <w:t>with</w:t>
            </w:r>
            <w:r w:rsidRPr="008B7A27">
              <w:rPr>
                <w:sz w:val="20"/>
                <w:szCs w:val="20"/>
                <w:lang w:val="en-US"/>
              </w:rPr>
              <w:t xml:space="preserve"> the verified colorectal cancer with metastasis to the liver. To determine the CSC </w:t>
            </w:r>
            <w:r>
              <w:rPr>
                <w:sz w:val="20"/>
                <w:szCs w:val="20"/>
                <w:lang w:val="en-US"/>
              </w:rPr>
              <w:t xml:space="preserve">we have </w:t>
            </w:r>
            <w:r w:rsidRPr="008B7A27">
              <w:rPr>
                <w:sz w:val="20"/>
                <w:szCs w:val="20"/>
                <w:lang w:val="en-US"/>
              </w:rPr>
              <w:t xml:space="preserve">applied </w:t>
            </w:r>
            <w:r>
              <w:rPr>
                <w:sz w:val="20"/>
                <w:szCs w:val="20"/>
                <w:lang w:val="en-US"/>
              </w:rPr>
              <w:t xml:space="preserve">an </w:t>
            </w:r>
            <w:r w:rsidRPr="008B7A27">
              <w:rPr>
                <w:sz w:val="20"/>
                <w:szCs w:val="20"/>
                <w:lang w:val="en-US"/>
              </w:rPr>
              <w:t xml:space="preserve">analysis technology </w:t>
            </w:r>
            <w:r>
              <w:rPr>
                <w:sz w:val="20"/>
                <w:szCs w:val="20"/>
                <w:lang w:val="en-US"/>
              </w:rPr>
              <w:t xml:space="preserve">in </w:t>
            </w:r>
            <w:r w:rsidRPr="008B7A27">
              <w:rPr>
                <w:sz w:val="20"/>
                <w:szCs w:val="20"/>
                <w:lang w:val="en-US"/>
              </w:rPr>
              <w:t>CellSearch System ™ (Janssen Diagnostics, LLC). Our study of the number and frequency of detection of circulating tumor cells in peripheral blood of patients and control group demonstrates the reduction in the number of CTCs during laparoscopic surgery and chang</w:t>
            </w:r>
            <w:r>
              <w:rPr>
                <w:sz w:val="20"/>
                <w:szCs w:val="20"/>
                <w:lang w:val="en-US"/>
              </w:rPr>
              <w:t>ing</w:t>
            </w:r>
            <w:r w:rsidRPr="008B7A27">
              <w:rPr>
                <w:sz w:val="20"/>
                <w:szCs w:val="20"/>
                <w:lang w:val="en-US"/>
              </w:rPr>
              <w:t xml:space="preserve"> the dynamics of the level of tumor cells in the form of reduction from the stage of the mobilization of the drug due to minimally invasive access, minimizing manipulation </w:t>
            </w:r>
            <w:r>
              <w:rPr>
                <w:sz w:val="20"/>
                <w:szCs w:val="20"/>
                <w:lang w:val="en-US"/>
              </w:rPr>
              <w:t xml:space="preserve">in </w:t>
            </w:r>
            <w:r w:rsidRPr="008B7A27">
              <w:rPr>
                <w:sz w:val="20"/>
                <w:szCs w:val="20"/>
                <w:lang w:val="en-US"/>
              </w:rPr>
              <w:t>the projection of the tumor and as a consequence, preventing the release into the blood stream of single tumor cells</w:t>
            </w:r>
          </w:p>
        </w:tc>
      </w:tr>
      <w:tr w:rsidR="00992C7E" w:rsidRPr="00132FE6" w:rsidTr="00316ECD">
        <w:tc>
          <w:tcPr>
            <w:tcW w:w="4644" w:type="dxa"/>
          </w:tcPr>
          <w:p w:rsidR="00992C7E" w:rsidRPr="008B7A27" w:rsidRDefault="00992C7E" w:rsidP="008B7A27">
            <w:pPr>
              <w:pStyle w:val="NormalWeb"/>
              <w:spacing w:after="0" w:line="240" w:lineRule="auto"/>
              <w:contextualSpacing/>
              <w:rPr>
                <w:sz w:val="20"/>
                <w:szCs w:val="20"/>
              </w:rPr>
            </w:pPr>
            <w:r w:rsidRPr="008B7A27">
              <w:rPr>
                <w:sz w:val="20"/>
                <w:szCs w:val="20"/>
              </w:rPr>
              <w:t>Ключевые слова: КОЛОРЕКТАЛЬНЫЙ РАК, ЦОК, ЛАПАРОСКОПИЯ</w:t>
            </w:r>
          </w:p>
          <w:p w:rsidR="00992C7E" w:rsidRPr="008B7A27" w:rsidRDefault="00992C7E" w:rsidP="008B7A27">
            <w:pPr>
              <w:pStyle w:val="NormalWeb"/>
              <w:spacing w:after="0" w:line="240" w:lineRule="auto"/>
              <w:contextualSpacing/>
              <w:rPr>
                <w:sz w:val="20"/>
                <w:szCs w:val="20"/>
              </w:rPr>
            </w:pPr>
          </w:p>
          <w:p w:rsidR="00992C7E" w:rsidRPr="008B7A27" w:rsidRDefault="00992C7E" w:rsidP="008B7A27">
            <w:pPr>
              <w:pStyle w:val="NormalWeb"/>
              <w:spacing w:after="0" w:line="240" w:lineRule="auto"/>
              <w:contextualSpacing/>
              <w:rPr>
                <w:b/>
                <w:sz w:val="20"/>
                <w:szCs w:val="20"/>
                <w:lang w:val="en-US"/>
              </w:rPr>
            </w:pPr>
            <w:r w:rsidRPr="008B7A27">
              <w:rPr>
                <w:b/>
                <w:sz w:val="20"/>
                <w:szCs w:val="20"/>
                <w:lang w:val="en-US"/>
              </w:rPr>
              <w:t xml:space="preserve">Doi: </w:t>
            </w:r>
            <w:r w:rsidRPr="008B7A27">
              <w:rPr>
                <w:b/>
                <w:sz w:val="20"/>
                <w:szCs w:val="20"/>
              </w:rPr>
              <w:t>10.21515/1990-4665-122-073</w:t>
            </w:r>
          </w:p>
        </w:tc>
        <w:tc>
          <w:tcPr>
            <w:tcW w:w="4644" w:type="dxa"/>
          </w:tcPr>
          <w:p w:rsidR="00992C7E" w:rsidRPr="008B7A27" w:rsidRDefault="00992C7E" w:rsidP="008B7A27">
            <w:pPr>
              <w:pStyle w:val="NormalWeb"/>
              <w:spacing w:after="0" w:line="240" w:lineRule="auto"/>
              <w:contextualSpacing/>
              <w:rPr>
                <w:sz w:val="20"/>
                <w:szCs w:val="20"/>
                <w:lang w:val="en-US"/>
              </w:rPr>
            </w:pPr>
            <w:r w:rsidRPr="008B7A27">
              <w:rPr>
                <w:sz w:val="20"/>
                <w:szCs w:val="20"/>
                <w:lang w:val="en-US"/>
              </w:rPr>
              <w:t xml:space="preserve">Keywords: COLORECTAL CANCER, CTCs, LAPAROSCOPY </w:t>
            </w:r>
          </w:p>
        </w:tc>
      </w:tr>
    </w:tbl>
    <w:p w:rsidR="00992C7E" w:rsidRPr="00C17ACD" w:rsidRDefault="00992C7E">
      <w:pPr>
        <w:rPr>
          <w:rFonts w:ascii="Times New Roman" w:hAnsi="Times New Roman"/>
          <w:sz w:val="28"/>
          <w:szCs w:val="28"/>
          <w:lang w:val="en-US"/>
        </w:rPr>
      </w:pPr>
    </w:p>
    <w:p w:rsidR="00992C7E" w:rsidRDefault="00992C7E" w:rsidP="001D7D6C">
      <w:pPr>
        <w:contextualSpacing/>
        <w:jc w:val="center"/>
        <w:rPr>
          <w:rFonts w:ascii="Times New Roman" w:hAnsi="Times New Roman"/>
          <w:sz w:val="28"/>
          <w:szCs w:val="28"/>
        </w:rPr>
      </w:pPr>
      <w:r>
        <w:rPr>
          <w:rFonts w:ascii="Times New Roman" w:hAnsi="Times New Roman"/>
          <w:sz w:val="28"/>
          <w:szCs w:val="28"/>
        </w:rPr>
        <w:t>ВВЕДЕНИЕ</w:t>
      </w:r>
    </w:p>
    <w:p w:rsidR="00992C7E" w:rsidRDefault="00992C7E" w:rsidP="000A0D65">
      <w:pPr>
        <w:spacing w:line="360" w:lineRule="auto"/>
        <w:ind w:firstLine="709"/>
        <w:contextualSpacing/>
        <w:jc w:val="both"/>
        <w:rPr>
          <w:rFonts w:ascii="Times New Roman" w:hAnsi="Times New Roman"/>
          <w:sz w:val="28"/>
          <w:szCs w:val="28"/>
        </w:rPr>
      </w:pPr>
      <w:r>
        <w:rPr>
          <w:rFonts w:ascii="Times New Roman" w:eastAsia="Batang" w:hAnsi="Times New Roman"/>
          <w:bCs/>
          <w:sz w:val="28"/>
          <w:szCs w:val="28"/>
        </w:rPr>
        <w:t xml:space="preserve">В настоящее время </w:t>
      </w:r>
      <w:r w:rsidRPr="00F90ADE">
        <w:rPr>
          <w:rFonts w:ascii="Times New Roman" w:eastAsia="Batang" w:hAnsi="Times New Roman"/>
          <w:bCs/>
          <w:sz w:val="28"/>
          <w:szCs w:val="28"/>
        </w:rPr>
        <w:t>известно,</w:t>
      </w:r>
      <w:r>
        <w:rPr>
          <w:rFonts w:ascii="Times New Roman" w:eastAsia="Batang" w:hAnsi="Times New Roman"/>
          <w:bCs/>
          <w:sz w:val="28"/>
          <w:szCs w:val="28"/>
        </w:rPr>
        <w:t xml:space="preserve"> что</w:t>
      </w:r>
      <w:r w:rsidRPr="00F90ADE">
        <w:rPr>
          <w:rFonts w:ascii="Times New Roman" w:eastAsia="Batang" w:hAnsi="Times New Roman"/>
          <w:bCs/>
          <w:sz w:val="28"/>
          <w:szCs w:val="28"/>
        </w:rPr>
        <w:t xml:space="preserve"> </w:t>
      </w:r>
      <w:r w:rsidRPr="00F90ADE">
        <w:rPr>
          <w:rFonts w:ascii="Times New Roman" w:hAnsi="Times New Roman"/>
          <w:sz w:val="28"/>
          <w:szCs w:val="28"/>
        </w:rPr>
        <w:t>смертность от злокачественных заболеваний</w:t>
      </w:r>
      <w:bookmarkStart w:id="0" w:name="_GoBack"/>
      <w:bookmarkEnd w:id="0"/>
      <w:r w:rsidRPr="00F90ADE">
        <w:rPr>
          <w:rFonts w:ascii="Times New Roman" w:hAnsi="Times New Roman"/>
          <w:sz w:val="28"/>
          <w:szCs w:val="28"/>
        </w:rPr>
        <w:t xml:space="preserve"> напрямую связана с ранним метастазированием и развитием рецидивов. </w:t>
      </w:r>
      <w:r>
        <w:rPr>
          <w:rFonts w:ascii="Times New Roman" w:hAnsi="Times New Roman"/>
          <w:sz w:val="28"/>
          <w:szCs w:val="28"/>
        </w:rPr>
        <w:t>С р</w:t>
      </w:r>
      <w:r w:rsidRPr="00F90ADE">
        <w:rPr>
          <w:rFonts w:ascii="Times New Roman" w:hAnsi="Times New Roman"/>
          <w:sz w:val="28"/>
          <w:szCs w:val="28"/>
        </w:rPr>
        <w:t>азвитие</w:t>
      </w:r>
      <w:r>
        <w:rPr>
          <w:rFonts w:ascii="Times New Roman" w:hAnsi="Times New Roman"/>
          <w:sz w:val="28"/>
          <w:szCs w:val="28"/>
        </w:rPr>
        <w:t>м</w:t>
      </w:r>
      <w:r w:rsidRPr="00F90ADE">
        <w:rPr>
          <w:rFonts w:ascii="Times New Roman" w:hAnsi="Times New Roman"/>
          <w:sz w:val="28"/>
          <w:szCs w:val="28"/>
        </w:rPr>
        <w:t xml:space="preserve"> современных технологий </w:t>
      </w:r>
      <w:r>
        <w:rPr>
          <w:rFonts w:ascii="Times New Roman" w:hAnsi="Times New Roman"/>
          <w:sz w:val="28"/>
          <w:szCs w:val="28"/>
        </w:rPr>
        <w:t>стало</w:t>
      </w:r>
      <w:r w:rsidRPr="00F90ADE">
        <w:rPr>
          <w:rFonts w:ascii="Times New Roman" w:hAnsi="Times New Roman"/>
          <w:sz w:val="28"/>
          <w:szCs w:val="28"/>
        </w:rPr>
        <w:t xml:space="preserve"> возможным </w:t>
      </w:r>
      <w:r>
        <w:rPr>
          <w:rFonts w:ascii="Times New Roman" w:hAnsi="Times New Roman"/>
          <w:sz w:val="28"/>
          <w:szCs w:val="28"/>
        </w:rPr>
        <w:t>детекция</w:t>
      </w:r>
      <w:r w:rsidRPr="00F90ADE">
        <w:rPr>
          <w:rFonts w:ascii="Times New Roman" w:hAnsi="Times New Roman"/>
          <w:sz w:val="28"/>
          <w:szCs w:val="28"/>
        </w:rPr>
        <w:t xml:space="preserve"> единичных опухолевых клеток в биоптатах костного мозга и периферической крови </w:t>
      </w:r>
      <w:r w:rsidRPr="000A0D65">
        <w:rPr>
          <w:rFonts w:ascii="Times New Roman" w:hAnsi="Times New Roman"/>
          <w:sz w:val="28"/>
          <w:szCs w:val="28"/>
        </w:rPr>
        <w:t>[</w:t>
      </w:r>
      <w:r>
        <w:rPr>
          <w:rFonts w:ascii="Times New Roman" w:hAnsi="Times New Roman"/>
          <w:sz w:val="28"/>
          <w:szCs w:val="28"/>
        </w:rPr>
        <w:t>11</w:t>
      </w:r>
      <w:r w:rsidRPr="000A0D65">
        <w:rPr>
          <w:rFonts w:ascii="Times New Roman" w:hAnsi="Times New Roman"/>
          <w:sz w:val="28"/>
          <w:szCs w:val="28"/>
        </w:rPr>
        <w:t>]</w:t>
      </w:r>
      <w:r>
        <w:rPr>
          <w:rFonts w:ascii="Times New Roman" w:hAnsi="Times New Roman"/>
          <w:sz w:val="28"/>
          <w:szCs w:val="28"/>
        </w:rPr>
        <w:t>.</w:t>
      </w:r>
      <w:r w:rsidRPr="00F90ADE">
        <w:rPr>
          <w:rFonts w:ascii="Times New Roman" w:hAnsi="Times New Roman"/>
          <w:sz w:val="28"/>
          <w:szCs w:val="28"/>
        </w:rPr>
        <w:t xml:space="preserve"> </w:t>
      </w:r>
      <w:r w:rsidRPr="00F90ADE">
        <w:rPr>
          <w:rFonts w:ascii="Times New Roman" w:hAnsi="Times New Roman"/>
          <w:sz w:val="28"/>
          <w:szCs w:val="28"/>
          <w:lang w:eastAsia="ru-RU"/>
        </w:rPr>
        <w:t>Циркул</w:t>
      </w:r>
      <w:r>
        <w:rPr>
          <w:rFonts w:ascii="Times New Roman" w:hAnsi="Times New Roman"/>
          <w:sz w:val="28"/>
          <w:szCs w:val="28"/>
          <w:lang w:eastAsia="ru-RU"/>
        </w:rPr>
        <w:t xml:space="preserve">ирующие опухолевые клетки (ЦОК) – </w:t>
      </w:r>
      <w:r w:rsidRPr="00F90ADE">
        <w:rPr>
          <w:rFonts w:ascii="Times New Roman" w:hAnsi="Times New Roman"/>
          <w:sz w:val="28"/>
          <w:szCs w:val="28"/>
          <w:lang w:eastAsia="ru-RU"/>
        </w:rPr>
        <w:t>клетки эпителиального происхождения</w:t>
      </w:r>
      <w:r>
        <w:rPr>
          <w:rFonts w:ascii="Times New Roman" w:hAnsi="Times New Roman"/>
          <w:sz w:val="28"/>
          <w:szCs w:val="28"/>
          <w:lang w:eastAsia="ru-RU"/>
        </w:rPr>
        <w:t>,</w:t>
      </w:r>
      <w:r w:rsidRPr="00F90ADE">
        <w:rPr>
          <w:rFonts w:ascii="Times New Roman" w:hAnsi="Times New Roman"/>
          <w:sz w:val="28"/>
          <w:szCs w:val="28"/>
          <w:lang w:eastAsia="ru-RU"/>
        </w:rPr>
        <w:t xml:space="preserve"> </w:t>
      </w:r>
      <w:r>
        <w:rPr>
          <w:rFonts w:ascii="Times New Roman" w:hAnsi="Times New Roman"/>
          <w:sz w:val="28"/>
          <w:szCs w:val="28"/>
          <w:lang w:eastAsia="ru-RU"/>
        </w:rPr>
        <w:t>своего рода</w:t>
      </w:r>
      <w:r w:rsidRPr="00F90ADE">
        <w:rPr>
          <w:rFonts w:ascii="Times New Roman" w:hAnsi="Times New Roman"/>
          <w:sz w:val="28"/>
          <w:szCs w:val="28"/>
          <w:lang w:eastAsia="ru-RU"/>
        </w:rPr>
        <w:t xml:space="preserve"> клон</w:t>
      </w:r>
      <w:r>
        <w:rPr>
          <w:rFonts w:ascii="Times New Roman" w:hAnsi="Times New Roman"/>
          <w:sz w:val="28"/>
          <w:szCs w:val="28"/>
          <w:lang w:eastAsia="ru-RU"/>
        </w:rPr>
        <w:t xml:space="preserve">ы первичной опухоли </w:t>
      </w:r>
      <w:r w:rsidRPr="000A0D65">
        <w:rPr>
          <w:rFonts w:ascii="Times New Roman" w:hAnsi="Times New Roman"/>
          <w:sz w:val="28"/>
          <w:szCs w:val="28"/>
        </w:rPr>
        <w:t>[</w:t>
      </w:r>
      <w:r>
        <w:rPr>
          <w:rFonts w:ascii="Times New Roman" w:hAnsi="Times New Roman"/>
          <w:sz w:val="28"/>
          <w:szCs w:val="28"/>
        </w:rPr>
        <w:t>4,5,10</w:t>
      </w:r>
      <w:r w:rsidRPr="000A0D65">
        <w:rPr>
          <w:rFonts w:ascii="Times New Roman" w:hAnsi="Times New Roman"/>
          <w:sz w:val="28"/>
          <w:szCs w:val="28"/>
        </w:rPr>
        <w:t>]</w:t>
      </w:r>
      <w:r>
        <w:rPr>
          <w:rFonts w:ascii="Times New Roman" w:hAnsi="Times New Roman"/>
          <w:sz w:val="28"/>
          <w:szCs w:val="28"/>
        </w:rPr>
        <w:t>.</w:t>
      </w:r>
      <w:r w:rsidRPr="00F90ADE">
        <w:rPr>
          <w:rFonts w:ascii="Times New Roman" w:hAnsi="Times New Roman"/>
          <w:sz w:val="28"/>
          <w:szCs w:val="28"/>
          <w:lang w:eastAsia="ru-RU"/>
        </w:rPr>
        <w:t xml:space="preserve"> Клетки опухоли приобретают способность проникать в кровоток после процесса эпителиально-мезенхимального перехода, в результате которого опухолевая клетка утрачивает клеточную адгезию, приобретает аномальную подвижность и инвазивность</w:t>
      </w:r>
      <w:r>
        <w:rPr>
          <w:rFonts w:ascii="Times New Roman" w:hAnsi="Times New Roman"/>
          <w:sz w:val="28"/>
          <w:szCs w:val="28"/>
          <w:lang w:eastAsia="ru-RU"/>
        </w:rPr>
        <w:t xml:space="preserve"> </w:t>
      </w:r>
      <w:r w:rsidRPr="000A0D65">
        <w:rPr>
          <w:rFonts w:ascii="Times New Roman" w:hAnsi="Times New Roman"/>
          <w:sz w:val="28"/>
          <w:szCs w:val="28"/>
        </w:rPr>
        <w:t>[</w:t>
      </w:r>
      <w:r>
        <w:rPr>
          <w:rFonts w:ascii="Times New Roman" w:hAnsi="Times New Roman"/>
          <w:sz w:val="28"/>
          <w:szCs w:val="28"/>
        </w:rPr>
        <w:t>7,16</w:t>
      </w:r>
      <w:r w:rsidRPr="000A0D65">
        <w:rPr>
          <w:rFonts w:ascii="Times New Roman" w:hAnsi="Times New Roman"/>
          <w:sz w:val="28"/>
          <w:szCs w:val="28"/>
        </w:rPr>
        <w:t>]</w:t>
      </w:r>
      <w:r w:rsidRPr="00F90ADE">
        <w:rPr>
          <w:rFonts w:ascii="Times New Roman" w:hAnsi="Times New Roman"/>
          <w:sz w:val="28"/>
          <w:szCs w:val="28"/>
          <w:lang w:eastAsia="ru-RU"/>
        </w:rPr>
        <w:t>.</w:t>
      </w:r>
      <w:r w:rsidRPr="00F90ADE">
        <w:rPr>
          <w:rFonts w:ascii="Times New Roman" w:hAnsi="Times New Roman"/>
          <w:color w:val="000000"/>
          <w:sz w:val="28"/>
          <w:szCs w:val="28"/>
          <w:lang w:eastAsia="ru-RU"/>
        </w:rPr>
        <w:t xml:space="preserve"> </w:t>
      </w:r>
      <w:r w:rsidRPr="00F90ADE">
        <w:rPr>
          <w:rFonts w:ascii="Times New Roman" w:hAnsi="Times New Roman"/>
          <w:sz w:val="28"/>
          <w:szCs w:val="28"/>
          <w:lang w:eastAsia="ru-RU"/>
        </w:rPr>
        <w:t>П</w:t>
      </w:r>
      <w:r w:rsidRPr="00F90ADE">
        <w:rPr>
          <w:rFonts w:ascii="Times New Roman" w:hAnsi="Times New Roman"/>
          <w:color w:val="000000"/>
          <w:sz w:val="28"/>
          <w:szCs w:val="28"/>
          <w:lang w:eastAsia="ru-RU"/>
        </w:rPr>
        <w:t xml:space="preserve">осле попадания в кровоток основная часть опухолевых клеток (85%) подвергается апоптозу в течение 5 минут, часть - продолжает циркулировать, а часть клеток покидает кровоток в сосудах отдаленных органов, где могут находиться в «дремлющем» или «спящем» состоянии или, при реверсии мезенхимального фенотипа в эпителиальный, пролиферировать с формированием метастаза </w:t>
      </w:r>
      <w:r w:rsidRPr="000A0D65">
        <w:rPr>
          <w:rFonts w:ascii="Times New Roman" w:hAnsi="Times New Roman"/>
          <w:sz w:val="28"/>
          <w:szCs w:val="28"/>
        </w:rPr>
        <w:t>[</w:t>
      </w:r>
      <w:r>
        <w:rPr>
          <w:rFonts w:ascii="Times New Roman" w:hAnsi="Times New Roman"/>
          <w:sz w:val="28"/>
          <w:szCs w:val="28"/>
        </w:rPr>
        <w:t>8,13</w:t>
      </w:r>
      <w:r w:rsidRPr="000A0D65">
        <w:rPr>
          <w:rFonts w:ascii="Times New Roman" w:hAnsi="Times New Roman"/>
          <w:sz w:val="28"/>
          <w:szCs w:val="28"/>
        </w:rPr>
        <w:t>]</w:t>
      </w:r>
      <w:r>
        <w:rPr>
          <w:rFonts w:ascii="Times New Roman" w:hAnsi="Times New Roman"/>
          <w:sz w:val="28"/>
          <w:szCs w:val="28"/>
        </w:rPr>
        <w:t>.</w:t>
      </w:r>
    </w:p>
    <w:p w:rsidR="00992C7E" w:rsidRDefault="00992C7E" w:rsidP="000A0D65">
      <w:pPr>
        <w:spacing w:line="360" w:lineRule="auto"/>
        <w:ind w:firstLine="709"/>
        <w:contextualSpacing/>
        <w:jc w:val="both"/>
        <w:rPr>
          <w:rFonts w:ascii="Times New Roman" w:hAnsi="Times New Roman"/>
          <w:sz w:val="28"/>
          <w:szCs w:val="28"/>
        </w:rPr>
      </w:pPr>
      <w:r>
        <w:rPr>
          <w:rFonts w:ascii="Times New Roman" w:hAnsi="Times New Roman"/>
          <w:color w:val="000000"/>
          <w:sz w:val="28"/>
          <w:szCs w:val="28"/>
          <w:lang w:eastAsia="ru-RU"/>
        </w:rPr>
        <w:t>Основной и</w:t>
      </w:r>
      <w:r w:rsidRPr="00F90ADE">
        <w:rPr>
          <w:rFonts w:ascii="Times New Roman" w:hAnsi="Times New Roman"/>
          <w:color w:val="000000"/>
          <w:sz w:val="28"/>
          <w:szCs w:val="28"/>
          <w:lang w:eastAsia="ru-RU"/>
        </w:rPr>
        <w:t xml:space="preserve">нтерес представляет фракция клеток опухоли, </w:t>
      </w:r>
      <w:r>
        <w:rPr>
          <w:rFonts w:ascii="Times New Roman" w:hAnsi="Times New Roman"/>
          <w:color w:val="000000"/>
          <w:sz w:val="28"/>
          <w:szCs w:val="28"/>
          <w:lang w:eastAsia="ru-RU"/>
        </w:rPr>
        <w:t>продолжающая свое существование</w:t>
      </w:r>
      <w:r w:rsidRPr="00F90ADE">
        <w:rPr>
          <w:rFonts w:ascii="Times New Roman" w:hAnsi="Times New Roman"/>
          <w:color w:val="000000"/>
          <w:sz w:val="28"/>
          <w:szCs w:val="28"/>
          <w:lang w:eastAsia="ru-RU"/>
        </w:rPr>
        <w:t xml:space="preserve"> в сосудистом русле. Эти клетки не вступают в клеточный цикл, не пролиферируют, устойчивы к действию цитотоксических агентов и не подвергаются </w:t>
      </w:r>
      <w:r>
        <w:rPr>
          <w:rFonts w:ascii="Times New Roman" w:hAnsi="Times New Roman"/>
          <w:sz w:val="28"/>
          <w:szCs w:val="28"/>
          <w:lang w:eastAsia="ru-RU"/>
        </w:rPr>
        <w:t xml:space="preserve">апоптозу, </w:t>
      </w:r>
      <w:r w:rsidRPr="00F90ADE">
        <w:rPr>
          <w:rFonts w:ascii="Times New Roman" w:hAnsi="Times New Roman"/>
          <w:sz w:val="28"/>
          <w:szCs w:val="28"/>
          <w:lang w:eastAsia="ru-RU"/>
        </w:rPr>
        <w:t xml:space="preserve">благодаря активации антиапоптотических программ </w:t>
      </w:r>
      <w:r>
        <w:rPr>
          <w:rFonts w:ascii="Times New Roman" w:hAnsi="Times New Roman"/>
          <w:sz w:val="28"/>
          <w:szCs w:val="28"/>
          <w:lang w:eastAsia="ru-RU"/>
        </w:rPr>
        <w:t xml:space="preserve">происходящей во время </w:t>
      </w:r>
      <w:r w:rsidRPr="00F90ADE">
        <w:rPr>
          <w:rFonts w:ascii="Times New Roman" w:hAnsi="Times New Roman"/>
          <w:sz w:val="28"/>
          <w:szCs w:val="28"/>
          <w:lang w:eastAsia="ru-RU"/>
        </w:rPr>
        <w:t xml:space="preserve">эпителиально-мезенхимального перехода </w:t>
      </w:r>
      <w:r w:rsidRPr="000A0D65">
        <w:rPr>
          <w:rFonts w:ascii="Times New Roman" w:hAnsi="Times New Roman"/>
          <w:sz w:val="28"/>
          <w:szCs w:val="28"/>
        </w:rPr>
        <w:t>[</w:t>
      </w:r>
      <w:r>
        <w:rPr>
          <w:rFonts w:ascii="Times New Roman" w:hAnsi="Times New Roman"/>
          <w:sz w:val="28"/>
          <w:szCs w:val="28"/>
        </w:rPr>
        <w:t>7</w:t>
      </w:r>
      <w:r w:rsidRPr="000A0D65">
        <w:rPr>
          <w:rFonts w:ascii="Times New Roman" w:hAnsi="Times New Roman"/>
          <w:sz w:val="28"/>
          <w:szCs w:val="28"/>
        </w:rPr>
        <w:t>]</w:t>
      </w:r>
      <w:r>
        <w:rPr>
          <w:rFonts w:ascii="Times New Roman" w:hAnsi="Times New Roman"/>
          <w:sz w:val="28"/>
          <w:szCs w:val="28"/>
        </w:rPr>
        <w:t>.</w:t>
      </w:r>
      <w:r w:rsidRPr="00F90ADE">
        <w:rPr>
          <w:rFonts w:ascii="Times New Roman" w:hAnsi="Times New Roman"/>
          <w:sz w:val="28"/>
          <w:szCs w:val="28"/>
          <w:lang w:eastAsia="ru-RU"/>
        </w:rPr>
        <w:t xml:space="preserve"> </w:t>
      </w:r>
      <w:r w:rsidRPr="00844C76">
        <w:rPr>
          <w:rFonts w:ascii="Times New Roman" w:hAnsi="Times New Roman"/>
          <w:sz w:val="28"/>
          <w:szCs w:val="28"/>
        </w:rPr>
        <w:t>ЦОК</w:t>
      </w:r>
      <w:r>
        <w:rPr>
          <w:rFonts w:ascii="Times New Roman" w:hAnsi="Times New Roman"/>
          <w:sz w:val="28"/>
          <w:szCs w:val="28"/>
        </w:rPr>
        <w:t xml:space="preserve"> имеют</w:t>
      </w:r>
      <w:r w:rsidRPr="00844C76">
        <w:rPr>
          <w:rFonts w:ascii="Times New Roman" w:hAnsi="Times New Roman"/>
          <w:sz w:val="28"/>
          <w:szCs w:val="28"/>
        </w:rPr>
        <w:t xml:space="preserve"> агрессивный метастатический потенциал, приобретенный в результате эволюции клона, что позволяет рассматривать их как основной механизм опухолевой прогрессии </w:t>
      </w:r>
      <w:r w:rsidRPr="000A0D65">
        <w:rPr>
          <w:rFonts w:ascii="Times New Roman" w:hAnsi="Times New Roman"/>
          <w:sz w:val="28"/>
          <w:szCs w:val="28"/>
        </w:rPr>
        <w:t>[</w:t>
      </w:r>
      <w:r>
        <w:rPr>
          <w:rFonts w:ascii="Times New Roman" w:hAnsi="Times New Roman"/>
          <w:sz w:val="28"/>
          <w:szCs w:val="28"/>
        </w:rPr>
        <w:t>6</w:t>
      </w:r>
      <w:r w:rsidRPr="000A0D65">
        <w:rPr>
          <w:rFonts w:ascii="Times New Roman" w:hAnsi="Times New Roman"/>
          <w:sz w:val="28"/>
          <w:szCs w:val="28"/>
        </w:rPr>
        <w:t>]</w:t>
      </w:r>
      <w:r>
        <w:rPr>
          <w:rFonts w:ascii="Times New Roman" w:hAnsi="Times New Roman"/>
          <w:sz w:val="28"/>
          <w:szCs w:val="28"/>
        </w:rPr>
        <w:t xml:space="preserve">. </w:t>
      </w:r>
      <w:r w:rsidRPr="00844C76">
        <w:rPr>
          <w:rFonts w:ascii="Times New Roman" w:hAnsi="Times New Roman"/>
          <w:color w:val="000000"/>
          <w:sz w:val="28"/>
          <w:szCs w:val="28"/>
          <w:lang w:eastAsia="ru-RU"/>
        </w:rPr>
        <w:t>В</w:t>
      </w:r>
      <w:r w:rsidRPr="00844C76">
        <w:rPr>
          <w:rFonts w:ascii="Times New Roman" w:hAnsi="Times New Roman"/>
          <w:sz w:val="28"/>
          <w:szCs w:val="28"/>
          <w:lang w:eastAsia="ru-RU"/>
        </w:rPr>
        <w:t>о время эпителиально-мезенхимального перехода</w:t>
      </w:r>
      <w:r w:rsidRPr="00844C76">
        <w:rPr>
          <w:rFonts w:ascii="Times New Roman" w:hAnsi="Times New Roman"/>
          <w:color w:val="000000"/>
          <w:sz w:val="28"/>
          <w:szCs w:val="28"/>
          <w:lang w:eastAsia="ru-RU"/>
        </w:rPr>
        <w:t xml:space="preserve"> </w:t>
      </w:r>
      <w:r w:rsidRPr="00844C76">
        <w:rPr>
          <w:rFonts w:ascii="Times New Roman" w:hAnsi="Times New Roman"/>
          <w:sz w:val="28"/>
          <w:szCs w:val="28"/>
          <w:lang w:eastAsia="ru-RU"/>
        </w:rPr>
        <w:t>опухолевая клетка теряет эпителиальные антиге</w:t>
      </w:r>
      <w:r>
        <w:rPr>
          <w:rFonts w:ascii="Times New Roman" w:hAnsi="Times New Roman"/>
          <w:sz w:val="28"/>
          <w:szCs w:val="28"/>
          <w:lang w:eastAsia="ru-RU"/>
        </w:rPr>
        <w:t>ны и приобретает мезенхимальные, в связи с чем меняются ее фенотипические характеристики, по сравнению с клетками в первичной опухоли</w:t>
      </w:r>
      <w:r w:rsidRPr="00844C76">
        <w:rPr>
          <w:rFonts w:ascii="Times New Roman" w:hAnsi="Times New Roman"/>
          <w:sz w:val="28"/>
          <w:szCs w:val="28"/>
          <w:lang w:eastAsia="ru-RU"/>
        </w:rPr>
        <w:t xml:space="preserve"> </w:t>
      </w:r>
      <w:r w:rsidRPr="000A0D65">
        <w:rPr>
          <w:rFonts w:ascii="Times New Roman" w:hAnsi="Times New Roman"/>
          <w:sz w:val="28"/>
          <w:szCs w:val="28"/>
        </w:rPr>
        <w:t>[</w:t>
      </w:r>
      <w:r>
        <w:rPr>
          <w:rFonts w:ascii="Times New Roman" w:hAnsi="Times New Roman"/>
          <w:sz w:val="28"/>
          <w:szCs w:val="28"/>
        </w:rPr>
        <w:t>14</w:t>
      </w:r>
      <w:r w:rsidRPr="000A0D65">
        <w:rPr>
          <w:rFonts w:ascii="Times New Roman" w:hAnsi="Times New Roman"/>
          <w:sz w:val="28"/>
          <w:szCs w:val="28"/>
        </w:rPr>
        <w:t>]</w:t>
      </w:r>
      <w:r>
        <w:rPr>
          <w:rFonts w:ascii="Times New Roman" w:hAnsi="Times New Roman"/>
          <w:sz w:val="28"/>
          <w:szCs w:val="28"/>
        </w:rPr>
        <w:t>.</w:t>
      </w:r>
      <w:r w:rsidRPr="00844C76">
        <w:rPr>
          <w:rFonts w:ascii="Times New Roman" w:hAnsi="Times New Roman"/>
          <w:sz w:val="28"/>
          <w:szCs w:val="28"/>
        </w:rPr>
        <w:t xml:space="preserve"> </w:t>
      </w:r>
    </w:p>
    <w:p w:rsidR="00992C7E" w:rsidRPr="000A0D65" w:rsidRDefault="00992C7E" w:rsidP="000A0D65">
      <w:pPr>
        <w:autoSpaceDE w:val="0"/>
        <w:autoSpaceDN w:val="0"/>
        <w:adjustRightInd w:val="0"/>
        <w:spacing w:after="0" w:line="360" w:lineRule="auto"/>
        <w:ind w:firstLine="709"/>
        <w:contextualSpacing/>
        <w:jc w:val="both"/>
        <w:rPr>
          <w:rFonts w:ascii="Times New Roman" w:eastAsia="NewtonC" w:hAnsi="Times New Roman"/>
          <w:color w:val="231F20"/>
          <w:sz w:val="28"/>
          <w:szCs w:val="28"/>
          <w:lang w:eastAsia="ru-RU"/>
        </w:rPr>
      </w:pPr>
      <w:r w:rsidRPr="00692ED6">
        <w:rPr>
          <w:rFonts w:ascii="Times New Roman" w:eastAsia="NewtonC" w:hAnsi="Times New Roman"/>
          <w:color w:val="231F20"/>
          <w:sz w:val="28"/>
          <w:szCs w:val="28"/>
          <w:lang w:eastAsia="ru-RU"/>
        </w:rPr>
        <w:t>Колоректальный рак занимает одно из ведущих мест в структуре онкологической заболеваемости и смертности</w:t>
      </w:r>
      <w:r>
        <w:rPr>
          <w:rFonts w:ascii="Times New Roman" w:eastAsia="NewtonC" w:hAnsi="Times New Roman"/>
          <w:color w:val="231F20"/>
          <w:sz w:val="28"/>
          <w:szCs w:val="28"/>
          <w:lang w:eastAsia="ru-RU"/>
        </w:rPr>
        <w:t>,</w:t>
      </w:r>
      <w:r w:rsidRPr="00692ED6">
        <w:rPr>
          <w:rFonts w:ascii="Times New Roman" w:eastAsia="NewtonC" w:hAnsi="Times New Roman"/>
          <w:color w:val="231F20"/>
          <w:sz w:val="28"/>
          <w:szCs w:val="28"/>
          <w:lang w:eastAsia="ru-RU"/>
        </w:rPr>
        <w:t xml:space="preserve"> </w:t>
      </w:r>
      <w:r>
        <w:rPr>
          <w:rFonts w:ascii="Times New Roman" w:eastAsia="NewtonC" w:hAnsi="Times New Roman"/>
          <w:color w:val="231F20"/>
          <w:sz w:val="28"/>
          <w:szCs w:val="28"/>
          <w:lang w:eastAsia="ru-RU"/>
        </w:rPr>
        <w:t>как в России, так и во всем мире [1,2,3</w:t>
      </w:r>
      <w:r w:rsidRPr="00692ED6">
        <w:rPr>
          <w:rFonts w:ascii="Times New Roman" w:eastAsia="NewtonC" w:hAnsi="Times New Roman"/>
          <w:color w:val="231F20"/>
          <w:sz w:val="28"/>
          <w:szCs w:val="28"/>
          <w:lang w:eastAsia="ru-RU"/>
        </w:rPr>
        <w:t>]</w:t>
      </w:r>
      <w:r>
        <w:rPr>
          <w:rFonts w:ascii="Times New Roman" w:eastAsia="NewtonC" w:hAnsi="Times New Roman"/>
          <w:color w:val="231F20"/>
          <w:sz w:val="28"/>
          <w:szCs w:val="28"/>
          <w:lang w:eastAsia="ru-RU"/>
        </w:rPr>
        <w:t>. И</w:t>
      </w:r>
      <w:r w:rsidRPr="00E35DDB">
        <w:rPr>
          <w:rFonts w:ascii="Times New Roman" w:eastAsia="NewtonC" w:hAnsi="Times New Roman"/>
          <w:color w:val="231F20"/>
          <w:sz w:val="28"/>
          <w:szCs w:val="28"/>
          <w:lang w:eastAsia="ru-RU"/>
        </w:rPr>
        <w:t xml:space="preserve">звестно, что хирургический стресс может активизировать рост опухоли и способствовать ее метастазированию. В экспериментах A. M. Eggermont и соавт. и H. Goshima и соавт. показано, что после операций увеличивается способность опухолевых клеток к имплантации и </w:t>
      </w:r>
      <w:r w:rsidRPr="00DA78BF">
        <w:rPr>
          <w:rFonts w:ascii="Times New Roman" w:eastAsia="NewtonC" w:hAnsi="Times New Roman"/>
          <w:color w:val="231F20"/>
          <w:sz w:val="28"/>
          <w:szCs w:val="28"/>
          <w:lang w:eastAsia="ru-RU"/>
        </w:rPr>
        <w:t>диссеминации</w:t>
      </w:r>
      <w:r w:rsidRPr="00DA78BF">
        <w:rPr>
          <w:rFonts w:ascii="Times New Roman" w:eastAsia="NewtonC" w:hAnsi="Times New Roman"/>
          <w:b/>
          <w:color w:val="231F20"/>
          <w:sz w:val="28"/>
          <w:szCs w:val="28"/>
          <w:lang w:eastAsia="ru-RU"/>
        </w:rPr>
        <w:t xml:space="preserve"> </w:t>
      </w:r>
      <w:r w:rsidRPr="000A0D65">
        <w:rPr>
          <w:rFonts w:ascii="Times New Roman" w:hAnsi="Times New Roman"/>
          <w:sz w:val="28"/>
          <w:szCs w:val="28"/>
        </w:rPr>
        <w:t>[</w:t>
      </w:r>
      <w:r>
        <w:rPr>
          <w:rFonts w:ascii="Times New Roman" w:hAnsi="Times New Roman"/>
          <w:sz w:val="28"/>
          <w:szCs w:val="28"/>
        </w:rPr>
        <w:t>9,12</w:t>
      </w:r>
      <w:r w:rsidRPr="000A0D65">
        <w:rPr>
          <w:rFonts w:ascii="Times New Roman" w:hAnsi="Times New Roman"/>
          <w:sz w:val="28"/>
          <w:szCs w:val="28"/>
        </w:rPr>
        <w:t>]</w:t>
      </w:r>
      <w:r>
        <w:rPr>
          <w:rFonts w:ascii="Times New Roman" w:hAnsi="Times New Roman"/>
          <w:sz w:val="28"/>
          <w:szCs w:val="28"/>
        </w:rPr>
        <w:t>.</w:t>
      </w:r>
      <w:r w:rsidRPr="00DA78BF">
        <w:rPr>
          <w:rFonts w:ascii="Times New Roman" w:eastAsia="NewtonC" w:hAnsi="Times New Roman"/>
          <w:b/>
          <w:color w:val="231F20"/>
          <w:sz w:val="28"/>
          <w:szCs w:val="28"/>
          <w:lang w:eastAsia="ru-RU"/>
        </w:rPr>
        <w:t xml:space="preserve"> </w:t>
      </w:r>
      <w:r w:rsidRPr="00DA78BF">
        <w:rPr>
          <w:rFonts w:ascii="Times New Roman" w:eastAsia="NewtonC" w:hAnsi="Times New Roman"/>
          <w:color w:val="231F20"/>
          <w:sz w:val="28"/>
          <w:szCs w:val="28"/>
          <w:lang w:eastAsia="ru-RU"/>
        </w:rPr>
        <w:t>Лапароскопические вмешательства по сравнению с традиционными, открытыми операциями позволяют минимизировать хирургическую травму и хирургический стресс за счет прецизионной техники и малотравматичного доступа</w:t>
      </w:r>
      <w:r>
        <w:rPr>
          <w:rFonts w:ascii="Times New Roman" w:eastAsia="NewtonC" w:hAnsi="Times New Roman"/>
          <w:color w:val="231F20"/>
          <w:sz w:val="28"/>
          <w:szCs w:val="28"/>
          <w:lang w:eastAsia="ru-RU"/>
        </w:rPr>
        <w:t xml:space="preserve"> </w:t>
      </w:r>
      <w:r w:rsidRPr="000A0D65">
        <w:rPr>
          <w:rFonts w:ascii="Times New Roman" w:hAnsi="Times New Roman"/>
          <w:sz w:val="28"/>
          <w:szCs w:val="28"/>
        </w:rPr>
        <w:t>[</w:t>
      </w:r>
      <w:r>
        <w:rPr>
          <w:rFonts w:ascii="Times New Roman" w:hAnsi="Times New Roman"/>
          <w:sz w:val="28"/>
          <w:szCs w:val="28"/>
        </w:rPr>
        <w:t>15</w:t>
      </w:r>
      <w:r w:rsidRPr="000A0D65">
        <w:rPr>
          <w:rFonts w:ascii="Times New Roman" w:hAnsi="Times New Roman"/>
          <w:sz w:val="28"/>
          <w:szCs w:val="28"/>
        </w:rPr>
        <w:t>]</w:t>
      </w:r>
      <w:r>
        <w:rPr>
          <w:rFonts w:ascii="Times New Roman" w:hAnsi="Times New Roman"/>
          <w:sz w:val="28"/>
          <w:szCs w:val="28"/>
        </w:rPr>
        <w:t>.</w:t>
      </w:r>
      <w:r w:rsidRPr="00DA78BF">
        <w:rPr>
          <w:rFonts w:ascii="Times New Roman" w:eastAsia="NewtonC" w:hAnsi="Times New Roman"/>
          <w:color w:val="231F20"/>
          <w:sz w:val="28"/>
          <w:szCs w:val="28"/>
          <w:lang w:eastAsia="ru-RU"/>
        </w:rPr>
        <w:t xml:space="preserve"> </w:t>
      </w:r>
    </w:p>
    <w:p w:rsidR="00992C7E" w:rsidRDefault="00992C7E" w:rsidP="001D7D6C">
      <w:pPr>
        <w:contextualSpacing/>
        <w:jc w:val="center"/>
        <w:rPr>
          <w:rFonts w:ascii="Times New Roman" w:hAnsi="Times New Roman"/>
          <w:sz w:val="28"/>
          <w:szCs w:val="28"/>
        </w:rPr>
      </w:pPr>
    </w:p>
    <w:p w:rsidR="00992C7E" w:rsidRDefault="00992C7E" w:rsidP="001D7D6C">
      <w:pPr>
        <w:contextualSpacing/>
        <w:jc w:val="center"/>
        <w:rPr>
          <w:rFonts w:ascii="Times New Roman" w:hAnsi="Times New Roman"/>
          <w:sz w:val="28"/>
          <w:szCs w:val="28"/>
        </w:rPr>
      </w:pPr>
      <w:r>
        <w:rPr>
          <w:rFonts w:ascii="Times New Roman" w:hAnsi="Times New Roman"/>
          <w:sz w:val="28"/>
          <w:szCs w:val="28"/>
        </w:rPr>
        <w:t>МАТЕРИАЛЫ И МЕТОДЫ</w:t>
      </w:r>
    </w:p>
    <w:p w:rsidR="00992C7E" w:rsidRDefault="00992C7E" w:rsidP="00DA78BF">
      <w:pPr>
        <w:spacing w:line="360" w:lineRule="auto"/>
        <w:ind w:firstLine="709"/>
        <w:contextualSpacing/>
        <w:jc w:val="both"/>
        <w:rPr>
          <w:rFonts w:ascii="Times New Roman" w:hAnsi="Times New Roman"/>
          <w:sz w:val="28"/>
          <w:szCs w:val="28"/>
        </w:rPr>
      </w:pPr>
      <w:r w:rsidRPr="00B86684">
        <w:rPr>
          <w:rFonts w:ascii="Times New Roman" w:hAnsi="Times New Roman"/>
          <w:sz w:val="28"/>
          <w:szCs w:val="28"/>
        </w:rPr>
        <w:t xml:space="preserve">В исследование были включены </w:t>
      </w:r>
      <w:r>
        <w:rPr>
          <w:rFonts w:ascii="Times New Roman" w:hAnsi="Times New Roman"/>
          <w:sz w:val="28"/>
          <w:szCs w:val="28"/>
        </w:rPr>
        <w:t>3</w:t>
      </w:r>
      <w:r w:rsidRPr="00B86684">
        <w:rPr>
          <w:rFonts w:ascii="Times New Roman" w:hAnsi="Times New Roman"/>
          <w:sz w:val="28"/>
          <w:szCs w:val="28"/>
        </w:rPr>
        <w:t xml:space="preserve">0 пациентов по поводу верифицированного рака толстой кишки </w:t>
      </w:r>
      <w:r>
        <w:rPr>
          <w:rFonts w:ascii="Times New Roman" w:hAnsi="Times New Roman"/>
          <w:sz w:val="28"/>
          <w:szCs w:val="28"/>
        </w:rPr>
        <w:t xml:space="preserve">с метастазированием в печень </w:t>
      </w:r>
      <w:r w:rsidRPr="00B86684">
        <w:rPr>
          <w:rFonts w:ascii="Times New Roman" w:hAnsi="Times New Roman"/>
          <w:sz w:val="28"/>
          <w:szCs w:val="28"/>
        </w:rPr>
        <w:t xml:space="preserve">в ФГБУ «РНИОИ» Минздрава РФ. </w:t>
      </w:r>
      <w:r>
        <w:rPr>
          <w:rFonts w:ascii="Times New Roman" w:hAnsi="Times New Roman"/>
          <w:sz w:val="28"/>
          <w:szCs w:val="28"/>
        </w:rPr>
        <w:t xml:space="preserve">Все пациенты были разделены на основную группу (лапароскопические операции, 15 человек) и контрольную (традиционные открытые операции, 15 человек). Для определения ЦОК </w:t>
      </w:r>
      <w:r w:rsidRPr="00B86684">
        <w:rPr>
          <w:rFonts w:ascii="Times New Roman" w:hAnsi="Times New Roman"/>
          <w:sz w:val="28"/>
          <w:szCs w:val="28"/>
        </w:rPr>
        <w:t>применял</w:t>
      </w:r>
      <w:r>
        <w:rPr>
          <w:rFonts w:ascii="Times New Roman" w:hAnsi="Times New Roman"/>
          <w:sz w:val="28"/>
          <w:szCs w:val="28"/>
        </w:rPr>
        <w:t>ась</w:t>
      </w:r>
      <w:r w:rsidRPr="00B86684">
        <w:rPr>
          <w:rFonts w:ascii="Times New Roman" w:hAnsi="Times New Roman"/>
          <w:sz w:val="28"/>
          <w:szCs w:val="28"/>
        </w:rPr>
        <w:t xml:space="preserve"> технологи</w:t>
      </w:r>
      <w:r>
        <w:rPr>
          <w:rFonts w:ascii="Times New Roman" w:hAnsi="Times New Roman"/>
          <w:sz w:val="28"/>
          <w:szCs w:val="28"/>
        </w:rPr>
        <w:t>я</w:t>
      </w:r>
      <w:r w:rsidRPr="00B86684">
        <w:rPr>
          <w:rFonts w:ascii="Times New Roman" w:hAnsi="Times New Roman"/>
          <w:sz w:val="28"/>
          <w:szCs w:val="28"/>
        </w:rPr>
        <w:t xml:space="preserve"> анализа в системе CellSearch System™ (Janssen Diagnostics, LLC). Анализ выполнялся трижды: до оперативного вмешательства при поступлении, во время операции при мобилизации  препарата и перед выпиской. Методика определения ЦОК заключалась в следующем: кровь в объеме 8–10 мл забиралась в пробирки СellSave Preservative Tube, содержащие антикоагулянт ЭДТА, а также реагент для сохранения жизнеспособности опухолевых клеток. Для отделения клеток крови и опухолевых от плазмы, кровь смешивалась с рабочим буфером из набора реагентов CellSearch® СТС kit и центрифугировалась при ускорении 800g в течение 10 минут. После этого образцы переносились в аппарат CellTracks® AutoPrep® System, который в автоматическом режиме, удаляя плазму крови и форменные элементы, иммуномагнитно обогащал образец микрочастицами железа, покрытыми антителами к маркерам адгезии эпителиальных клеток EpCAM, CD45 и цитокератинам 8,18,19. Качество работы системы оценивали с использованием стандартного контроля СТС control kit. Материал сканировался в анализаторе CellTracks® Analyzer II®. С учетом морфологических характеристик и экспресс</w:t>
      </w:r>
      <w:r>
        <w:rPr>
          <w:rFonts w:ascii="Times New Roman" w:hAnsi="Times New Roman"/>
          <w:sz w:val="28"/>
          <w:szCs w:val="28"/>
        </w:rPr>
        <w:t>ии маркеров регистрировались циркулирующие опухолевые клетки</w:t>
      </w:r>
      <w:r w:rsidRPr="00B86684">
        <w:rPr>
          <w:rFonts w:ascii="Times New Roman" w:hAnsi="Times New Roman"/>
          <w:sz w:val="28"/>
          <w:szCs w:val="28"/>
        </w:rPr>
        <w:t xml:space="preserve">. </w:t>
      </w:r>
    </w:p>
    <w:p w:rsidR="00992C7E" w:rsidRDefault="00992C7E" w:rsidP="00DA78BF">
      <w:pPr>
        <w:contextualSpacing/>
        <w:rPr>
          <w:rFonts w:ascii="Times New Roman" w:hAnsi="Times New Roman"/>
          <w:sz w:val="28"/>
          <w:szCs w:val="28"/>
        </w:rPr>
      </w:pPr>
    </w:p>
    <w:p w:rsidR="00992C7E" w:rsidRDefault="00992C7E" w:rsidP="001D7D6C">
      <w:pPr>
        <w:contextualSpacing/>
        <w:jc w:val="center"/>
        <w:rPr>
          <w:rFonts w:ascii="Times New Roman" w:hAnsi="Times New Roman"/>
          <w:sz w:val="28"/>
          <w:szCs w:val="28"/>
        </w:rPr>
      </w:pPr>
      <w:r>
        <w:rPr>
          <w:rFonts w:ascii="Times New Roman" w:hAnsi="Times New Roman"/>
          <w:sz w:val="28"/>
          <w:szCs w:val="28"/>
        </w:rPr>
        <w:t>РЕЗУЛЬТАТЫ ИССЛЕДОВАНИЯ</w:t>
      </w:r>
    </w:p>
    <w:p w:rsidR="00992C7E" w:rsidRDefault="00992C7E" w:rsidP="00692ED6">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557C80">
        <w:rPr>
          <w:rFonts w:ascii="Times New Roman" w:hAnsi="Times New Roman"/>
          <w:sz w:val="28"/>
          <w:szCs w:val="28"/>
          <w:lang w:eastAsia="ru-RU"/>
        </w:rPr>
        <w:t>Пр</w:t>
      </w:r>
      <w:r>
        <w:rPr>
          <w:rFonts w:ascii="Times New Roman" w:hAnsi="Times New Roman"/>
          <w:sz w:val="28"/>
          <w:szCs w:val="28"/>
          <w:lang w:eastAsia="ru-RU"/>
        </w:rPr>
        <w:t xml:space="preserve">и проведении </w:t>
      </w:r>
      <w:r w:rsidRPr="00557C80">
        <w:rPr>
          <w:rFonts w:ascii="Times New Roman" w:hAnsi="Times New Roman"/>
          <w:sz w:val="28"/>
          <w:szCs w:val="28"/>
          <w:lang w:eastAsia="ru-RU"/>
        </w:rPr>
        <w:t>количественн</w:t>
      </w:r>
      <w:r>
        <w:rPr>
          <w:rFonts w:ascii="Times New Roman" w:hAnsi="Times New Roman"/>
          <w:sz w:val="28"/>
          <w:szCs w:val="28"/>
          <w:lang w:eastAsia="ru-RU"/>
        </w:rPr>
        <w:t>ого</w:t>
      </w:r>
      <w:r w:rsidRPr="00557C80">
        <w:rPr>
          <w:rFonts w:ascii="Times New Roman" w:hAnsi="Times New Roman"/>
          <w:sz w:val="28"/>
          <w:szCs w:val="28"/>
          <w:lang w:eastAsia="ru-RU"/>
        </w:rPr>
        <w:t xml:space="preserve"> анализ</w:t>
      </w:r>
      <w:r>
        <w:rPr>
          <w:rFonts w:ascii="Times New Roman" w:hAnsi="Times New Roman"/>
          <w:sz w:val="28"/>
          <w:szCs w:val="28"/>
          <w:lang w:eastAsia="ru-RU"/>
        </w:rPr>
        <w:t>а</w:t>
      </w:r>
      <w:r w:rsidRPr="00557C80">
        <w:rPr>
          <w:rFonts w:ascii="Times New Roman" w:hAnsi="Times New Roman"/>
          <w:sz w:val="28"/>
          <w:szCs w:val="28"/>
          <w:lang w:eastAsia="ru-RU"/>
        </w:rPr>
        <w:t xml:space="preserve"> ЦОК в крови больных основной группы на этапе до</w:t>
      </w:r>
      <w:r>
        <w:rPr>
          <w:rFonts w:ascii="Times New Roman" w:hAnsi="Times New Roman"/>
          <w:sz w:val="28"/>
          <w:szCs w:val="28"/>
          <w:lang w:eastAsia="ru-RU"/>
        </w:rPr>
        <w:t xml:space="preserve"> оперативного вмешательства</w:t>
      </w:r>
      <w:r w:rsidRPr="00115B8B">
        <w:rPr>
          <w:rFonts w:ascii="Times New Roman" w:hAnsi="Times New Roman"/>
          <w:sz w:val="28"/>
          <w:szCs w:val="28"/>
          <w:lang w:eastAsia="ru-RU"/>
        </w:rPr>
        <w:t xml:space="preserve"> </w:t>
      </w:r>
      <w:r>
        <w:rPr>
          <w:rFonts w:ascii="Times New Roman" w:hAnsi="Times New Roman"/>
          <w:sz w:val="28"/>
          <w:szCs w:val="28"/>
          <w:lang w:eastAsia="ru-RU"/>
        </w:rPr>
        <w:t>опухолевые клетки были зарегистрированы у 13 больных из 15 (86,7% случаев). При этом от 1 до 3 клеток, что является допустимым при онкологических заболеваниях, наблюдалось в 46,7% случаев (у 7 из 15 больных). Уровень ЦОК выше 3-х наблюдался у 40% больных (6 из 15). Разброс опухолевых клеток в крови на этапе до оперативного вмешательства колебался от 1 до 121 ЦОК, в среднем составив 11,1±7,6%.</w:t>
      </w:r>
    </w:p>
    <w:p w:rsidR="00992C7E" w:rsidRDefault="00992C7E" w:rsidP="00692ED6">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Процентное соотношение выявленных опухолевых клеток в крови в основной группе больных на этапе мобилизации препарата по сравнению с детекцией до оперативного вмешательства было немного меньше, так ЦОК регистрировались в 80% случаев (у 12 из 15 больных). От 1 до 3 клеток обнаружено в 53,3% случаев (у 8 из 15 больных). На долю больных с уровнем ЦОК свыше 3-х приходилось 26,7% больных (4 из 15). Уровень ЦОК в крови больных на этапе мобилизации препарата находился в пределах от 1 до 52 опухолевых клеток, в среднем составив 5,3±3,3%.</w:t>
      </w:r>
    </w:p>
    <w:p w:rsidR="00992C7E" w:rsidRPr="001354DD" w:rsidRDefault="00992C7E" w:rsidP="00692ED6">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На 7 сутки после оперативного вмешательства доля больных с выявленными ЦОК составила 46,7% (7 из 15). От 1 до 3 ЦОК наблюдалось у 33,3% больных основной группы (5 из 15). У двоих больных уровень ЦОК был выше 3-х. Количество ЦОК в крови больных на 7 сутки после оперативного вмешательства составляло от 1 до 12 клеток, в среднем составив 1,5±0,8%.</w:t>
      </w:r>
    </w:p>
    <w:p w:rsidR="00992C7E" w:rsidRDefault="00992C7E" w:rsidP="001E4478">
      <w:pPr>
        <w:autoSpaceDE w:val="0"/>
        <w:autoSpaceDN w:val="0"/>
        <w:adjustRightInd w:val="0"/>
        <w:spacing w:after="0" w:line="360" w:lineRule="auto"/>
        <w:ind w:firstLine="709"/>
        <w:contextualSpacing/>
        <w:jc w:val="both"/>
        <w:rPr>
          <w:rFonts w:ascii="Times New Roman" w:eastAsia="Batang" w:hAnsi="Times New Roman"/>
          <w:bCs/>
          <w:sz w:val="28"/>
          <w:szCs w:val="28"/>
        </w:rPr>
      </w:pPr>
      <w:r>
        <w:rPr>
          <w:rFonts w:ascii="Times New Roman" w:hAnsi="Times New Roman"/>
          <w:sz w:val="28"/>
          <w:szCs w:val="28"/>
          <w:lang w:eastAsia="ru-RU"/>
        </w:rPr>
        <w:t xml:space="preserve">В целом, при анализе динамики уровня ЦОК во всех трех точках исследования при проведении </w:t>
      </w:r>
      <w:r w:rsidRPr="00F90ADE">
        <w:rPr>
          <w:rFonts w:ascii="Times New Roman" w:eastAsia="Batang" w:hAnsi="Times New Roman"/>
          <w:bCs/>
          <w:sz w:val="28"/>
          <w:szCs w:val="28"/>
        </w:rPr>
        <w:t>лапароскопическо</w:t>
      </w:r>
      <w:r>
        <w:rPr>
          <w:rFonts w:ascii="Times New Roman" w:eastAsia="Batang" w:hAnsi="Times New Roman"/>
          <w:bCs/>
          <w:sz w:val="28"/>
          <w:szCs w:val="28"/>
        </w:rPr>
        <w:t>го</w:t>
      </w:r>
      <w:r w:rsidRPr="00F90ADE">
        <w:rPr>
          <w:rFonts w:ascii="Times New Roman" w:eastAsia="Batang" w:hAnsi="Times New Roman"/>
          <w:bCs/>
          <w:sz w:val="28"/>
          <w:szCs w:val="28"/>
        </w:rPr>
        <w:t xml:space="preserve"> оперативно</w:t>
      </w:r>
      <w:r>
        <w:rPr>
          <w:rFonts w:ascii="Times New Roman" w:eastAsia="Batang" w:hAnsi="Times New Roman"/>
          <w:bCs/>
          <w:sz w:val="28"/>
          <w:szCs w:val="28"/>
        </w:rPr>
        <w:t>го</w:t>
      </w:r>
      <w:r w:rsidRPr="00F90ADE">
        <w:rPr>
          <w:rFonts w:ascii="Times New Roman" w:eastAsia="Batang" w:hAnsi="Times New Roman"/>
          <w:bCs/>
          <w:sz w:val="28"/>
          <w:szCs w:val="28"/>
        </w:rPr>
        <w:t xml:space="preserve"> вмешательств</w:t>
      </w:r>
      <w:r>
        <w:rPr>
          <w:rFonts w:ascii="Times New Roman" w:eastAsia="Batang" w:hAnsi="Times New Roman"/>
          <w:bCs/>
          <w:sz w:val="28"/>
          <w:szCs w:val="28"/>
        </w:rPr>
        <w:t>а были получены следующие типы изменений содержания опухолевых клеток</w:t>
      </w:r>
      <w:r w:rsidRPr="00331053">
        <w:rPr>
          <w:rFonts w:ascii="Times New Roman" w:eastAsia="Batang" w:hAnsi="Times New Roman"/>
          <w:bCs/>
          <w:sz w:val="28"/>
          <w:szCs w:val="28"/>
        </w:rPr>
        <w:t>:</w:t>
      </w:r>
    </w:p>
    <w:p w:rsidR="00992C7E" w:rsidRPr="001E4478" w:rsidRDefault="00992C7E" w:rsidP="001E4478">
      <w:pPr>
        <w:pStyle w:val="ListParagraph"/>
        <w:numPr>
          <w:ilvl w:val="0"/>
          <w:numId w:val="3"/>
        </w:numPr>
        <w:autoSpaceDE w:val="0"/>
        <w:autoSpaceDN w:val="0"/>
        <w:adjustRightInd w:val="0"/>
        <w:spacing w:after="0" w:line="360" w:lineRule="auto"/>
        <w:jc w:val="both"/>
        <w:rPr>
          <w:rFonts w:ascii="Times New Roman" w:hAnsi="Times New Roman"/>
          <w:sz w:val="28"/>
          <w:szCs w:val="28"/>
          <w:lang w:eastAsia="ru-RU"/>
        </w:rPr>
      </w:pPr>
      <w:r w:rsidRPr="001E4478">
        <w:rPr>
          <w:rFonts w:ascii="Times New Roman" w:eastAsia="Batang" w:hAnsi="Times New Roman"/>
          <w:bCs/>
          <w:sz w:val="28"/>
          <w:szCs w:val="28"/>
        </w:rPr>
        <w:t>Уровень ЦОК постепенно снижался от исходного фона к этапу мобилизации препарата и к 7-м суткам после оперативного вмешательства в 33,3% случаев (у 5 из 15 больных).</w:t>
      </w:r>
    </w:p>
    <w:p w:rsidR="00992C7E" w:rsidRPr="00C93285" w:rsidRDefault="00992C7E" w:rsidP="00C93285">
      <w:pPr>
        <w:pStyle w:val="ListParagraph"/>
        <w:numPr>
          <w:ilvl w:val="0"/>
          <w:numId w:val="3"/>
        </w:numPr>
        <w:autoSpaceDE w:val="0"/>
        <w:autoSpaceDN w:val="0"/>
        <w:adjustRightInd w:val="0"/>
        <w:spacing w:after="0" w:line="360" w:lineRule="auto"/>
        <w:jc w:val="both"/>
        <w:rPr>
          <w:rFonts w:ascii="Times New Roman" w:hAnsi="Times New Roman"/>
          <w:sz w:val="28"/>
          <w:szCs w:val="28"/>
          <w:lang w:eastAsia="ru-RU"/>
        </w:rPr>
      </w:pPr>
      <w:r w:rsidRPr="00C93285">
        <w:rPr>
          <w:rFonts w:ascii="Times New Roman" w:eastAsia="Batang" w:hAnsi="Times New Roman"/>
          <w:bCs/>
          <w:sz w:val="28"/>
          <w:szCs w:val="28"/>
        </w:rPr>
        <w:t>В первой и второй точках исследования был одинаков и снижался на 7-е сутки в 20% случаев (у 3 из 15 больных).</w:t>
      </w:r>
    </w:p>
    <w:p w:rsidR="00992C7E" w:rsidRPr="00C93285" w:rsidRDefault="00992C7E" w:rsidP="00C93285">
      <w:pPr>
        <w:pStyle w:val="ListParagraph"/>
        <w:numPr>
          <w:ilvl w:val="0"/>
          <w:numId w:val="3"/>
        </w:numPr>
        <w:autoSpaceDE w:val="0"/>
        <w:autoSpaceDN w:val="0"/>
        <w:adjustRightInd w:val="0"/>
        <w:spacing w:after="0" w:line="360" w:lineRule="auto"/>
        <w:jc w:val="both"/>
        <w:rPr>
          <w:rFonts w:ascii="Times New Roman" w:hAnsi="Times New Roman"/>
          <w:sz w:val="28"/>
          <w:szCs w:val="28"/>
          <w:lang w:eastAsia="ru-RU"/>
        </w:rPr>
      </w:pPr>
      <w:r w:rsidRPr="00C93285">
        <w:rPr>
          <w:rFonts w:ascii="Times New Roman" w:hAnsi="Times New Roman"/>
          <w:sz w:val="28"/>
          <w:szCs w:val="28"/>
          <w:lang w:eastAsia="ru-RU"/>
        </w:rPr>
        <w:t xml:space="preserve">Снижался на этапе мобилизации препарата и оставался таким же на 7-е сутки в 20% </w:t>
      </w:r>
      <w:r w:rsidRPr="00C93285">
        <w:rPr>
          <w:rFonts w:ascii="Times New Roman" w:eastAsia="Batang" w:hAnsi="Times New Roman"/>
          <w:bCs/>
          <w:sz w:val="28"/>
          <w:szCs w:val="28"/>
        </w:rPr>
        <w:t>(у 3 из 15 больных).</w:t>
      </w:r>
    </w:p>
    <w:p w:rsidR="00992C7E" w:rsidRPr="00C93285" w:rsidRDefault="00992C7E" w:rsidP="00C93285">
      <w:pPr>
        <w:pStyle w:val="ListParagraph"/>
        <w:numPr>
          <w:ilvl w:val="0"/>
          <w:numId w:val="3"/>
        </w:numPr>
        <w:autoSpaceDE w:val="0"/>
        <w:autoSpaceDN w:val="0"/>
        <w:adjustRightInd w:val="0"/>
        <w:spacing w:after="0" w:line="360" w:lineRule="auto"/>
        <w:jc w:val="both"/>
        <w:rPr>
          <w:rFonts w:ascii="Times New Roman" w:hAnsi="Times New Roman"/>
          <w:sz w:val="28"/>
          <w:szCs w:val="28"/>
          <w:lang w:eastAsia="ru-RU"/>
        </w:rPr>
      </w:pPr>
      <w:r w:rsidRPr="00C93285">
        <w:rPr>
          <w:rFonts w:ascii="Times New Roman" w:hAnsi="Times New Roman"/>
          <w:sz w:val="28"/>
          <w:szCs w:val="28"/>
          <w:lang w:eastAsia="ru-RU"/>
        </w:rPr>
        <w:t>Повышался на этапе мобилизации препарата, но снижался к 7-м суткам (в нашем случае, наблюдалось отсутствие ЦОК в 3 точке) в 13,3% у 2 из 15 больных.</w:t>
      </w:r>
    </w:p>
    <w:p w:rsidR="00992C7E" w:rsidRPr="00C93285" w:rsidRDefault="00992C7E" w:rsidP="00C93285">
      <w:pPr>
        <w:pStyle w:val="ListParagraph"/>
        <w:numPr>
          <w:ilvl w:val="0"/>
          <w:numId w:val="3"/>
        </w:numPr>
        <w:autoSpaceDE w:val="0"/>
        <w:autoSpaceDN w:val="0"/>
        <w:adjustRightInd w:val="0"/>
        <w:spacing w:after="0" w:line="360" w:lineRule="auto"/>
        <w:jc w:val="both"/>
        <w:rPr>
          <w:rFonts w:ascii="Times New Roman" w:hAnsi="Times New Roman"/>
          <w:sz w:val="28"/>
          <w:szCs w:val="28"/>
          <w:lang w:eastAsia="ru-RU"/>
        </w:rPr>
      </w:pPr>
      <w:r w:rsidRPr="00C93285">
        <w:rPr>
          <w:rFonts w:ascii="Times New Roman" w:hAnsi="Times New Roman"/>
          <w:sz w:val="28"/>
          <w:szCs w:val="28"/>
          <w:lang w:eastAsia="ru-RU"/>
        </w:rPr>
        <w:t>Снижался и отсутствовал на этапе мобилизации препарата, но увеличивался до 1 ЦОК на 7-е сутки после вмешательства в 6,7% случаев (1 из 15).</w:t>
      </w:r>
    </w:p>
    <w:p w:rsidR="00992C7E" w:rsidRPr="008D2A5C" w:rsidRDefault="00992C7E" w:rsidP="008D2A5C">
      <w:pPr>
        <w:pStyle w:val="ListParagraph"/>
        <w:numPr>
          <w:ilvl w:val="0"/>
          <w:numId w:val="3"/>
        </w:numPr>
        <w:autoSpaceDE w:val="0"/>
        <w:autoSpaceDN w:val="0"/>
        <w:adjustRightInd w:val="0"/>
        <w:spacing w:after="0" w:line="360" w:lineRule="auto"/>
        <w:jc w:val="both"/>
        <w:rPr>
          <w:rFonts w:ascii="Times New Roman" w:hAnsi="Times New Roman"/>
          <w:sz w:val="28"/>
          <w:szCs w:val="28"/>
          <w:lang w:eastAsia="ru-RU"/>
        </w:rPr>
      </w:pPr>
      <w:r>
        <w:rPr>
          <w:rFonts w:ascii="Times New Roman" w:hAnsi="Times New Roman"/>
          <w:sz w:val="28"/>
          <w:szCs w:val="28"/>
          <w:lang w:eastAsia="ru-RU"/>
        </w:rPr>
        <w:t>В</w:t>
      </w:r>
      <w:r w:rsidRPr="00C93285">
        <w:rPr>
          <w:rFonts w:ascii="Times New Roman" w:hAnsi="Times New Roman"/>
          <w:sz w:val="28"/>
          <w:szCs w:val="28"/>
          <w:lang w:eastAsia="ru-RU"/>
        </w:rPr>
        <w:t xml:space="preserve"> 1 </w:t>
      </w:r>
      <w:r>
        <w:rPr>
          <w:rFonts w:ascii="Times New Roman" w:hAnsi="Times New Roman"/>
          <w:sz w:val="28"/>
          <w:szCs w:val="28"/>
          <w:lang w:eastAsia="ru-RU"/>
        </w:rPr>
        <w:t xml:space="preserve">случае </w:t>
      </w:r>
      <w:r w:rsidRPr="00C93285">
        <w:rPr>
          <w:rFonts w:ascii="Times New Roman" w:hAnsi="Times New Roman"/>
          <w:sz w:val="28"/>
          <w:szCs w:val="28"/>
          <w:lang w:eastAsia="ru-RU"/>
        </w:rPr>
        <w:t>из 15</w:t>
      </w:r>
      <w:r>
        <w:rPr>
          <w:rFonts w:ascii="Times New Roman" w:hAnsi="Times New Roman"/>
          <w:sz w:val="28"/>
          <w:szCs w:val="28"/>
          <w:lang w:eastAsia="ru-RU"/>
        </w:rPr>
        <w:t xml:space="preserve"> анализ показал отсутствие</w:t>
      </w:r>
      <w:r w:rsidRPr="00C93285">
        <w:rPr>
          <w:rFonts w:ascii="Times New Roman" w:hAnsi="Times New Roman"/>
          <w:sz w:val="28"/>
          <w:szCs w:val="28"/>
          <w:lang w:eastAsia="ru-RU"/>
        </w:rPr>
        <w:t xml:space="preserve"> опухолевы</w:t>
      </w:r>
      <w:r>
        <w:rPr>
          <w:rFonts w:ascii="Times New Roman" w:hAnsi="Times New Roman"/>
          <w:sz w:val="28"/>
          <w:szCs w:val="28"/>
          <w:lang w:eastAsia="ru-RU"/>
        </w:rPr>
        <w:t>х</w:t>
      </w:r>
      <w:r w:rsidRPr="00C93285">
        <w:rPr>
          <w:rFonts w:ascii="Times New Roman" w:hAnsi="Times New Roman"/>
          <w:sz w:val="28"/>
          <w:szCs w:val="28"/>
          <w:lang w:eastAsia="ru-RU"/>
        </w:rPr>
        <w:t xml:space="preserve"> клет</w:t>
      </w:r>
      <w:r>
        <w:rPr>
          <w:rFonts w:ascii="Times New Roman" w:hAnsi="Times New Roman"/>
          <w:sz w:val="28"/>
          <w:szCs w:val="28"/>
          <w:lang w:eastAsia="ru-RU"/>
        </w:rPr>
        <w:t>о</w:t>
      </w:r>
      <w:r w:rsidRPr="00C93285">
        <w:rPr>
          <w:rFonts w:ascii="Times New Roman" w:hAnsi="Times New Roman"/>
          <w:sz w:val="28"/>
          <w:szCs w:val="28"/>
          <w:lang w:eastAsia="ru-RU"/>
        </w:rPr>
        <w:t>к в крови во всех трех точках исследования, что составило 6,7%.</w:t>
      </w:r>
    </w:p>
    <w:p w:rsidR="00992C7E" w:rsidRDefault="00992C7E" w:rsidP="00115B8B">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Проведение </w:t>
      </w:r>
      <w:r w:rsidRPr="00557C80">
        <w:rPr>
          <w:rFonts w:ascii="Times New Roman" w:hAnsi="Times New Roman"/>
          <w:sz w:val="28"/>
          <w:szCs w:val="28"/>
          <w:lang w:eastAsia="ru-RU"/>
        </w:rPr>
        <w:t>количественн</w:t>
      </w:r>
      <w:r>
        <w:rPr>
          <w:rFonts w:ascii="Times New Roman" w:hAnsi="Times New Roman"/>
          <w:sz w:val="28"/>
          <w:szCs w:val="28"/>
          <w:lang w:eastAsia="ru-RU"/>
        </w:rPr>
        <w:t>ого</w:t>
      </w:r>
      <w:r w:rsidRPr="00557C80">
        <w:rPr>
          <w:rFonts w:ascii="Times New Roman" w:hAnsi="Times New Roman"/>
          <w:sz w:val="28"/>
          <w:szCs w:val="28"/>
          <w:lang w:eastAsia="ru-RU"/>
        </w:rPr>
        <w:t xml:space="preserve"> анализ</w:t>
      </w:r>
      <w:r>
        <w:rPr>
          <w:rFonts w:ascii="Times New Roman" w:hAnsi="Times New Roman"/>
          <w:sz w:val="28"/>
          <w:szCs w:val="28"/>
          <w:lang w:eastAsia="ru-RU"/>
        </w:rPr>
        <w:t>а</w:t>
      </w:r>
      <w:r w:rsidRPr="00557C80">
        <w:rPr>
          <w:rFonts w:ascii="Times New Roman" w:hAnsi="Times New Roman"/>
          <w:sz w:val="28"/>
          <w:szCs w:val="28"/>
          <w:lang w:eastAsia="ru-RU"/>
        </w:rPr>
        <w:t xml:space="preserve"> ЦОК в крови больных </w:t>
      </w:r>
      <w:r>
        <w:rPr>
          <w:rFonts w:ascii="Times New Roman" w:hAnsi="Times New Roman"/>
          <w:sz w:val="28"/>
          <w:szCs w:val="28"/>
          <w:lang w:eastAsia="ru-RU"/>
        </w:rPr>
        <w:t xml:space="preserve">контрольной </w:t>
      </w:r>
      <w:r w:rsidRPr="00557C80">
        <w:rPr>
          <w:rFonts w:ascii="Times New Roman" w:hAnsi="Times New Roman"/>
          <w:sz w:val="28"/>
          <w:szCs w:val="28"/>
          <w:lang w:eastAsia="ru-RU"/>
        </w:rPr>
        <w:t>группы на этапе до</w:t>
      </w:r>
      <w:r>
        <w:rPr>
          <w:rFonts w:ascii="Times New Roman" w:hAnsi="Times New Roman"/>
          <w:sz w:val="28"/>
          <w:szCs w:val="28"/>
          <w:lang w:eastAsia="ru-RU"/>
        </w:rPr>
        <w:t xml:space="preserve"> оперативного вмешательства выявило отсутствие опухолевых клеток в 13,3% случаев (у 2 из 15 больных),  против 86,7% больных с наличием ЦОК (13 из 15). Детекция от 1 до 3 клеток происходила в 40% случаев (у 6 из 15 больных). Доля больных с уровнем ЦОК свыше 3 клеток составила 46,7% больных (7 из 15). Количество опухолевых клеток в крови на этапе до оперативного вмешательства у больных контрольной группы колебалось от 1 до 142 ЦОК, в среднем составив 12,2±9,2%.</w:t>
      </w:r>
    </w:p>
    <w:p w:rsidR="00992C7E" w:rsidRDefault="00992C7E" w:rsidP="00115B8B">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Процентное соотношение выявленных опухолевых клеток в крови в контрольной группе больных на этапе мобилизации препарата составило 93,3% (у 14 из 15 больных). От 1 до 3 клеток зарегистрировано в 40% случаев (у 6 из 15 больных). На долю больных с уровнем ЦОК свыше 3-х приходилось 53,3% (8 из 15). Уровень ЦОК в крови больных на этапе мобилизации препарата находился в пределах от 1 до 140 опухолевых клеток, в среднем составив 12,7±9,1%.</w:t>
      </w:r>
    </w:p>
    <w:p w:rsidR="00992C7E" w:rsidRDefault="00992C7E" w:rsidP="00115B8B">
      <w:pPr>
        <w:autoSpaceDE w:val="0"/>
        <w:autoSpaceDN w:val="0"/>
        <w:adjustRightInd w:val="0"/>
        <w:spacing w:after="0" w:line="360" w:lineRule="auto"/>
        <w:ind w:firstLine="709"/>
        <w:contextualSpacing/>
        <w:jc w:val="both"/>
      </w:pPr>
      <w:r>
        <w:rPr>
          <w:rFonts w:ascii="Times New Roman" w:hAnsi="Times New Roman"/>
          <w:sz w:val="28"/>
          <w:szCs w:val="28"/>
          <w:lang w:eastAsia="ru-RU"/>
        </w:rPr>
        <w:t xml:space="preserve">На 7 сутки после оперативного вмешательства в крови больных контрольной группы наличие клеток опухоли выявлено в 86,7% (13 из 15). От 1 до 3 ЦОК обнаружено у 33,3% больных контрольной группы (5 из 15). На долю больных с уровнем ЦОК свыше 3-х клеток приходилось 53,3% (8 из 15). </w:t>
      </w:r>
    </w:p>
    <w:p w:rsidR="00992C7E" w:rsidRDefault="00992C7E" w:rsidP="00304FFA">
      <w:pPr>
        <w:autoSpaceDE w:val="0"/>
        <w:autoSpaceDN w:val="0"/>
        <w:adjustRightInd w:val="0"/>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Уровень ЦОК в крови больных контрольной группы на 7 сутки после оперативного вмешательства находился в пределах от 1 до 160 клеток, в среднем составив 14,7±10,4%.</w:t>
      </w:r>
    </w:p>
    <w:p w:rsidR="00992C7E" w:rsidRPr="00331053" w:rsidRDefault="00992C7E" w:rsidP="00115B8B">
      <w:pPr>
        <w:autoSpaceDE w:val="0"/>
        <w:autoSpaceDN w:val="0"/>
        <w:adjustRightInd w:val="0"/>
        <w:spacing w:after="0" w:line="360" w:lineRule="auto"/>
        <w:ind w:firstLine="709"/>
        <w:contextualSpacing/>
        <w:jc w:val="both"/>
        <w:rPr>
          <w:rFonts w:ascii="Times New Roman" w:eastAsia="Batang" w:hAnsi="Times New Roman"/>
          <w:bCs/>
          <w:sz w:val="28"/>
          <w:szCs w:val="28"/>
        </w:rPr>
      </w:pPr>
      <w:r>
        <w:rPr>
          <w:rFonts w:ascii="Times New Roman" w:hAnsi="Times New Roman"/>
          <w:sz w:val="28"/>
          <w:szCs w:val="28"/>
          <w:lang w:eastAsia="ru-RU"/>
        </w:rPr>
        <w:t xml:space="preserve">Анализ динамики уровня ЦОК во всех трех точках исследования при проведении </w:t>
      </w:r>
      <w:r>
        <w:rPr>
          <w:rFonts w:ascii="Times New Roman" w:eastAsia="Batang" w:hAnsi="Times New Roman"/>
          <w:bCs/>
          <w:sz w:val="28"/>
          <w:szCs w:val="28"/>
        </w:rPr>
        <w:t>традиционной полостной операции соответствовал следующим типам изменений содержания опухолевых клеток</w:t>
      </w:r>
      <w:r w:rsidRPr="00331053">
        <w:rPr>
          <w:rFonts w:ascii="Times New Roman" w:eastAsia="Batang" w:hAnsi="Times New Roman"/>
          <w:bCs/>
          <w:sz w:val="28"/>
          <w:szCs w:val="28"/>
        </w:rPr>
        <w:t>:</w:t>
      </w:r>
    </w:p>
    <w:p w:rsidR="00992C7E" w:rsidRPr="00925D5F" w:rsidRDefault="00992C7E" w:rsidP="00925D5F">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eastAsia="Batang" w:hAnsi="Times New Roman"/>
          <w:bCs/>
          <w:sz w:val="28"/>
          <w:szCs w:val="28"/>
        </w:rPr>
        <w:t>Постепенное снижение уровня ЦОК от исходного фона к этапу мобилизации препарата и к 7-м суткам после оперативного вмешательства не выявлено ни в одном из проанализированных  случаев контрольной группы.</w:t>
      </w:r>
    </w:p>
    <w:p w:rsidR="00992C7E" w:rsidRPr="00925D5F" w:rsidRDefault="00992C7E" w:rsidP="00925D5F">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eastAsia="Batang" w:hAnsi="Times New Roman"/>
          <w:bCs/>
          <w:sz w:val="28"/>
          <w:szCs w:val="28"/>
        </w:rPr>
        <w:t xml:space="preserve">В первой и второй точках исследования уровень ЦОК был одинаков и снижался на 7-е сутки в 1 из 15 случаев, что составило 6,7%. </w:t>
      </w:r>
    </w:p>
    <w:p w:rsidR="00992C7E" w:rsidRPr="00925D5F" w:rsidRDefault="00992C7E" w:rsidP="00925D5F">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hAnsi="Times New Roman"/>
          <w:sz w:val="28"/>
          <w:szCs w:val="28"/>
          <w:lang w:eastAsia="ru-RU"/>
        </w:rPr>
        <w:t>Случаи снижения уровня ЦОК на этапе мобилизации препарата и такие же значения на 7-е сутки после операции среди больных контрольной группы нами выявлены не были.</w:t>
      </w:r>
    </w:p>
    <w:p w:rsidR="00992C7E" w:rsidRPr="00925D5F" w:rsidRDefault="00992C7E" w:rsidP="00925D5F">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hAnsi="Times New Roman"/>
          <w:sz w:val="28"/>
          <w:szCs w:val="28"/>
          <w:lang w:eastAsia="ru-RU"/>
        </w:rPr>
        <w:t>Уровень ЦОК повышался на этапе мобилизации препарата, но снижался к 7-м суткам у 4 из 15 больных, в 26,7%.</w:t>
      </w:r>
    </w:p>
    <w:p w:rsidR="00992C7E" w:rsidRPr="00925D5F" w:rsidRDefault="00992C7E" w:rsidP="00925D5F">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hAnsi="Times New Roman"/>
          <w:sz w:val="28"/>
          <w:szCs w:val="28"/>
          <w:lang w:eastAsia="ru-RU"/>
        </w:rPr>
        <w:t>Снижался на этапе мобилизации препарата, но увеличивался на 7-е сутки после оперативного вмешательства в 26,7% случаев (4 из 15).</w:t>
      </w:r>
    </w:p>
    <w:p w:rsidR="00992C7E" w:rsidRPr="00925D5F" w:rsidRDefault="00992C7E" w:rsidP="00925D5F">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eastAsia="Batang" w:hAnsi="Times New Roman"/>
          <w:bCs/>
          <w:sz w:val="28"/>
          <w:szCs w:val="28"/>
        </w:rPr>
        <w:t>Постепенное повышение уровня ЦОК от исходного фона к этапу мобилизации препарата и к 7-м суткам после оперативного вмешательства выявлено в 20% случаев (у 3 из 15 больных).</w:t>
      </w:r>
    </w:p>
    <w:p w:rsidR="00992C7E" w:rsidRPr="00925D5F" w:rsidRDefault="00992C7E" w:rsidP="00925D5F">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eastAsia="Batang" w:hAnsi="Times New Roman"/>
          <w:bCs/>
          <w:sz w:val="28"/>
          <w:szCs w:val="28"/>
        </w:rPr>
        <w:t>По 1 случаю приходилось на следующие типы динамики ЦОК: отсутствие опухолевых клеток в крови на всех этапах исследования и одинаковый исходный уровень и во время операции на этапе мобилизации препарата с увеличением к 7-м суткам (по 6,7%).</w:t>
      </w:r>
    </w:p>
    <w:p w:rsidR="00992C7E" w:rsidRPr="001354DD" w:rsidRDefault="00992C7E" w:rsidP="00121DD2">
      <w:pPr>
        <w:pStyle w:val="ListParagraph"/>
        <w:numPr>
          <w:ilvl w:val="0"/>
          <w:numId w:val="4"/>
        </w:numPr>
        <w:autoSpaceDE w:val="0"/>
        <w:autoSpaceDN w:val="0"/>
        <w:adjustRightInd w:val="0"/>
        <w:spacing w:after="0" w:line="360" w:lineRule="auto"/>
        <w:jc w:val="both"/>
        <w:rPr>
          <w:rFonts w:ascii="Times New Roman" w:hAnsi="Times New Roman"/>
          <w:sz w:val="28"/>
          <w:szCs w:val="28"/>
          <w:lang w:eastAsia="ru-RU"/>
        </w:rPr>
      </w:pPr>
      <w:r w:rsidRPr="00925D5F">
        <w:rPr>
          <w:rFonts w:ascii="Times New Roman" w:eastAsia="Batang" w:hAnsi="Times New Roman"/>
          <w:bCs/>
          <w:sz w:val="28"/>
          <w:szCs w:val="28"/>
        </w:rPr>
        <w:t>Увеличение уровня ЦОК на этапе мобилизации препарата и сохранение на 7-е сутки отмечено у 1 из 15 больных (6,7%).</w:t>
      </w:r>
    </w:p>
    <w:p w:rsidR="00992C7E" w:rsidRDefault="00992C7E" w:rsidP="00115B8B">
      <w:pPr>
        <w:autoSpaceDE w:val="0"/>
        <w:autoSpaceDN w:val="0"/>
        <w:adjustRightInd w:val="0"/>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Проведенный сравнительный анализ количества ЦОК у больных обеих групп на этапах исследования выявил, что исходные показатели средних значений опухолевых клеток до оперативного вмешательства в основной и контрольной группах находились практически на одинаковом уровне и составили 11,1±7,6 и 12,2±9,2 соответственно. При проведении лапароскопической операции на этапе мобилизации препарата у больных основной группы отмечено снижение в 2,4 раза среднего количества ЦОК в крови в сравнении со значениями больных контрольной групппы (с 12,7±9,1 при полостной операции против 5,3±3,3 при лапароскопической). Наиболее выраженные изменения количества ЦОК, хотя и не имеющие достоверной разницы, отмечены на 7-е сутки у больных основной группы, где их средние значения в 9,8 раз снижались в сравнении со значениями больных контрольной группы (с 14,7±10,4 больных контрольной группы, против 1,5±0,8 больных основной группы).</w:t>
      </w:r>
    </w:p>
    <w:p w:rsidR="00992C7E" w:rsidRPr="00575333" w:rsidRDefault="00992C7E" w:rsidP="00C93285">
      <w:pPr>
        <w:autoSpaceDE w:val="0"/>
        <w:autoSpaceDN w:val="0"/>
        <w:adjustRightInd w:val="0"/>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При сравнительном анализе динамики уровня ЦОК на этапах исследования у больных основной и контрольной групп выявлены следующие типы изменений содержания опухолевых клеток</w:t>
      </w:r>
      <w:r w:rsidRPr="00575333">
        <w:rPr>
          <w:rFonts w:ascii="Times New Roman" w:hAnsi="Times New Roman"/>
          <w:bCs/>
          <w:sz w:val="28"/>
          <w:szCs w:val="28"/>
        </w:rPr>
        <w:t>:</w:t>
      </w:r>
    </w:p>
    <w:p w:rsidR="00992C7E" w:rsidRPr="00121DD2" w:rsidRDefault="00992C7E" w:rsidP="00C93285">
      <w:pPr>
        <w:pStyle w:val="ListParagraph"/>
        <w:numPr>
          <w:ilvl w:val="0"/>
          <w:numId w:val="2"/>
        </w:numPr>
        <w:autoSpaceDE w:val="0"/>
        <w:autoSpaceDN w:val="0"/>
        <w:adjustRightInd w:val="0"/>
        <w:spacing w:after="0" w:line="360" w:lineRule="auto"/>
        <w:jc w:val="both"/>
        <w:rPr>
          <w:rFonts w:ascii="Times New Roman" w:hAnsi="Times New Roman"/>
          <w:bCs/>
          <w:sz w:val="28"/>
          <w:szCs w:val="28"/>
        </w:rPr>
      </w:pPr>
      <w:r w:rsidRPr="00121DD2">
        <w:rPr>
          <w:rFonts w:ascii="Times New Roman" w:hAnsi="Times New Roman"/>
          <w:sz w:val="28"/>
          <w:szCs w:val="28"/>
          <w:lang w:eastAsia="ru-RU"/>
        </w:rPr>
        <w:t>Одинаково часто в 6,7% у больных исследуемых групп опухолевые клетки не выявлены ни на одном из этапов исследования.</w:t>
      </w:r>
    </w:p>
    <w:p w:rsidR="00992C7E" w:rsidRPr="00121DD2" w:rsidRDefault="00992C7E" w:rsidP="00121DD2">
      <w:pPr>
        <w:pStyle w:val="ListParagraph"/>
        <w:numPr>
          <w:ilvl w:val="0"/>
          <w:numId w:val="2"/>
        </w:numPr>
        <w:autoSpaceDE w:val="0"/>
        <w:autoSpaceDN w:val="0"/>
        <w:adjustRightInd w:val="0"/>
        <w:spacing w:after="0" w:line="360" w:lineRule="auto"/>
        <w:jc w:val="both"/>
        <w:rPr>
          <w:rFonts w:ascii="Times New Roman" w:hAnsi="Times New Roman"/>
          <w:bCs/>
          <w:sz w:val="28"/>
          <w:szCs w:val="28"/>
        </w:rPr>
      </w:pPr>
      <w:r w:rsidRPr="00121DD2">
        <w:rPr>
          <w:rFonts w:ascii="Times New Roman" w:hAnsi="Times New Roman"/>
          <w:sz w:val="28"/>
          <w:szCs w:val="28"/>
          <w:lang w:eastAsia="ru-RU"/>
        </w:rPr>
        <w:t>У больных основной группы в 53,3%  отмечено снижение уровня ЦОК к этапу мобилизации препарата, причем у 33,3% снижение количества ЦОК продолжалось и к 7-е суткам в сравнении с исходным фоном и этапом мобилизации препарата. Подобная динамика уровня ЦОК у больных контрольной группы выявлена не была.</w:t>
      </w:r>
    </w:p>
    <w:p w:rsidR="00992C7E" w:rsidRPr="00121DD2" w:rsidRDefault="00992C7E" w:rsidP="00121DD2">
      <w:pPr>
        <w:pStyle w:val="ListParagraph"/>
        <w:numPr>
          <w:ilvl w:val="0"/>
          <w:numId w:val="2"/>
        </w:numPr>
        <w:autoSpaceDE w:val="0"/>
        <w:autoSpaceDN w:val="0"/>
        <w:adjustRightInd w:val="0"/>
        <w:spacing w:after="0" w:line="360" w:lineRule="auto"/>
        <w:jc w:val="both"/>
        <w:rPr>
          <w:rFonts w:ascii="Times New Roman" w:hAnsi="Times New Roman"/>
          <w:bCs/>
          <w:sz w:val="28"/>
          <w:szCs w:val="28"/>
        </w:rPr>
      </w:pPr>
      <w:r w:rsidRPr="00121DD2">
        <w:rPr>
          <w:rFonts w:ascii="Times New Roman" w:hAnsi="Times New Roman"/>
          <w:sz w:val="28"/>
          <w:szCs w:val="28"/>
          <w:lang w:eastAsia="ru-RU"/>
        </w:rPr>
        <w:t>У больных основной группы снижение уровня ЦОК только к 7-м суткам выявлено в 3 раза чаще в сравнении с контрольной группой (20% против 6,7%).</w:t>
      </w:r>
    </w:p>
    <w:p w:rsidR="00992C7E" w:rsidRPr="00121DD2" w:rsidRDefault="00992C7E" w:rsidP="00121DD2">
      <w:pPr>
        <w:pStyle w:val="ListParagraph"/>
        <w:numPr>
          <w:ilvl w:val="0"/>
          <w:numId w:val="2"/>
        </w:numPr>
        <w:autoSpaceDE w:val="0"/>
        <w:autoSpaceDN w:val="0"/>
        <w:adjustRightInd w:val="0"/>
        <w:spacing w:after="0" w:line="360" w:lineRule="auto"/>
        <w:jc w:val="both"/>
        <w:rPr>
          <w:rFonts w:ascii="Times New Roman" w:hAnsi="Times New Roman"/>
          <w:bCs/>
          <w:sz w:val="28"/>
          <w:szCs w:val="28"/>
        </w:rPr>
      </w:pPr>
      <w:r w:rsidRPr="00121DD2">
        <w:rPr>
          <w:rFonts w:ascii="Times New Roman" w:hAnsi="Times New Roman"/>
          <w:sz w:val="28"/>
          <w:szCs w:val="28"/>
          <w:lang w:eastAsia="ru-RU"/>
        </w:rPr>
        <w:t>Увеличение уровня ЦОК у больных контрольной группы на этапе мобилизации препарата выявлено в 4 раза чаще в сравнении с больными основной группы (53,3% против 13,3%). При этом в 33,3% случаев контрольной группы высокий уровень ЦОК сохранялся и на 7-е сутки после оперативного вмешательства. Подобная динамика уровня ЦОК у больных основной  группы нами не выявлена.</w:t>
      </w:r>
    </w:p>
    <w:p w:rsidR="00992C7E" w:rsidRPr="00121DD2" w:rsidRDefault="00992C7E" w:rsidP="00121DD2">
      <w:pPr>
        <w:pStyle w:val="ListParagraph"/>
        <w:numPr>
          <w:ilvl w:val="0"/>
          <w:numId w:val="2"/>
        </w:numPr>
        <w:autoSpaceDE w:val="0"/>
        <w:autoSpaceDN w:val="0"/>
        <w:adjustRightInd w:val="0"/>
        <w:spacing w:after="0" w:line="360" w:lineRule="auto"/>
        <w:jc w:val="both"/>
        <w:rPr>
          <w:rFonts w:ascii="Times New Roman" w:hAnsi="Times New Roman"/>
          <w:bCs/>
          <w:sz w:val="28"/>
          <w:szCs w:val="28"/>
        </w:rPr>
      </w:pPr>
      <w:r w:rsidRPr="00121DD2">
        <w:rPr>
          <w:rFonts w:ascii="Times New Roman" w:hAnsi="Times New Roman"/>
          <w:sz w:val="28"/>
          <w:szCs w:val="28"/>
          <w:lang w:eastAsia="ru-RU"/>
        </w:rPr>
        <w:t>Снижение уровня ЦОК на этапе мобилизации препарата и увеличение к 7-м суткам у больных контрольной группы выявлено в 4 раза чаще, в сравнении с больными основной группой (26,7% против 6,7%)</w:t>
      </w:r>
      <w:r>
        <w:rPr>
          <w:rFonts w:ascii="Times New Roman" w:hAnsi="Times New Roman"/>
          <w:sz w:val="28"/>
          <w:szCs w:val="28"/>
          <w:lang w:eastAsia="ru-RU"/>
        </w:rPr>
        <w:t>.</w:t>
      </w:r>
    </w:p>
    <w:p w:rsidR="00992C7E" w:rsidRPr="00B86684" w:rsidRDefault="00992C7E" w:rsidP="00DA78BF">
      <w:pPr>
        <w:contextualSpacing/>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p w:rsidR="00992C7E" w:rsidRDefault="00992C7E" w:rsidP="001D7D6C">
      <w:pPr>
        <w:contextualSpacing/>
        <w:jc w:val="center"/>
        <w:rPr>
          <w:rFonts w:ascii="Times New Roman" w:hAnsi="Times New Roman"/>
          <w:sz w:val="28"/>
          <w:szCs w:val="28"/>
        </w:rPr>
      </w:pPr>
      <w:r>
        <w:rPr>
          <w:rFonts w:ascii="Times New Roman" w:hAnsi="Times New Roman"/>
          <w:sz w:val="28"/>
          <w:szCs w:val="28"/>
        </w:rPr>
        <w:t>ВЫВОДЫ</w:t>
      </w:r>
    </w:p>
    <w:p w:rsidR="00992C7E" w:rsidRDefault="00992C7E" w:rsidP="001D7D6C">
      <w:pPr>
        <w:spacing w:line="360" w:lineRule="auto"/>
        <w:ind w:firstLine="709"/>
        <w:contextualSpacing/>
        <w:jc w:val="both"/>
        <w:rPr>
          <w:rFonts w:ascii="Times New Roman" w:eastAsia="Batang" w:hAnsi="Times New Roman"/>
          <w:bCs/>
          <w:sz w:val="28"/>
          <w:szCs w:val="28"/>
        </w:rPr>
      </w:pPr>
      <w:r>
        <w:rPr>
          <w:rFonts w:ascii="Times New Roman" w:eastAsia="Batang" w:hAnsi="Times New Roman"/>
          <w:sz w:val="28"/>
          <w:szCs w:val="28"/>
        </w:rPr>
        <w:t xml:space="preserve">Проведенное нами исследование </w:t>
      </w:r>
      <w:r w:rsidRPr="00F90ADE">
        <w:rPr>
          <w:rFonts w:ascii="Times New Roman" w:eastAsia="Batang" w:hAnsi="Times New Roman"/>
          <w:sz w:val="28"/>
          <w:szCs w:val="28"/>
        </w:rPr>
        <w:t>количества и  частоты выявления циркулирующих опухолевых клеток в периферической крови больных</w:t>
      </w:r>
      <w:r>
        <w:rPr>
          <w:rFonts w:ascii="Times New Roman" w:eastAsia="Batang" w:hAnsi="Times New Roman"/>
          <w:sz w:val="28"/>
          <w:szCs w:val="28"/>
        </w:rPr>
        <w:t xml:space="preserve"> </w:t>
      </w:r>
      <w:r w:rsidRPr="00F90ADE">
        <w:rPr>
          <w:rFonts w:ascii="Times New Roman" w:eastAsia="Batang" w:hAnsi="Times New Roman"/>
          <w:bCs/>
          <w:sz w:val="28"/>
          <w:szCs w:val="28"/>
        </w:rPr>
        <w:t xml:space="preserve">основной </w:t>
      </w:r>
      <w:r>
        <w:rPr>
          <w:rFonts w:ascii="Times New Roman" w:eastAsia="Batang" w:hAnsi="Times New Roman"/>
          <w:bCs/>
          <w:sz w:val="28"/>
          <w:szCs w:val="28"/>
        </w:rPr>
        <w:t xml:space="preserve">и контрольной </w:t>
      </w:r>
      <w:r w:rsidRPr="00F90ADE">
        <w:rPr>
          <w:rFonts w:ascii="Times New Roman" w:eastAsia="Batang" w:hAnsi="Times New Roman"/>
          <w:bCs/>
          <w:sz w:val="28"/>
          <w:szCs w:val="28"/>
        </w:rPr>
        <w:t>групп</w:t>
      </w:r>
      <w:r>
        <w:rPr>
          <w:rFonts w:ascii="Times New Roman" w:eastAsia="Batang" w:hAnsi="Times New Roman"/>
          <w:bCs/>
          <w:sz w:val="28"/>
          <w:szCs w:val="28"/>
        </w:rPr>
        <w:t xml:space="preserve"> наглядно демонстрирует уменьшение количества ЦОК при проведении лапароскопических вмешательств и изменение динамики уровня опухолевых клеток в виде их снижения начиная с этапа мобилизации препарата за счет малотравматичного доступа, минимизации манипуляций в проекции опухоли и как, следствие, препятствию выхода в кровяное русло единичных опухолевых клеток.</w:t>
      </w:r>
    </w:p>
    <w:p w:rsidR="00992C7E" w:rsidRDefault="00992C7E" w:rsidP="00DA78BF">
      <w:pPr>
        <w:spacing w:line="360" w:lineRule="auto"/>
        <w:contextualSpacing/>
        <w:jc w:val="both"/>
        <w:rPr>
          <w:rFonts w:ascii="Times New Roman" w:hAnsi="Times New Roman"/>
          <w:b/>
          <w:sz w:val="24"/>
          <w:szCs w:val="24"/>
        </w:rPr>
      </w:pPr>
    </w:p>
    <w:p w:rsidR="00992C7E" w:rsidRDefault="00992C7E" w:rsidP="00316ECD">
      <w:pPr>
        <w:tabs>
          <w:tab w:val="left" w:pos="993"/>
        </w:tabs>
        <w:spacing w:line="240" w:lineRule="auto"/>
        <w:ind w:firstLine="567"/>
        <w:contextualSpacing/>
        <w:jc w:val="both"/>
        <w:rPr>
          <w:rFonts w:ascii="Times New Roman" w:hAnsi="Times New Roman"/>
          <w:b/>
          <w:sz w:val="24"/>
          <w:szCs w:val="24"/>
        </w:rPr>
      </w:pPr>
      <w:r w:rsidRPr="00EB2C71">
        <w:rPr>
          <w:rFonts w:ascii="Times New Roman" w:hAnsi="Times New Roman"/>
          <w:b/>
          <w:sz w:val="24"/>
          <w:szCs w:val="24"/>
        </w:rPr>
        <w:t>Литература</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rPr>
      </w:pPr>
      <w:r w:rsidRPr="00484C8B">
        <w:rPr>
          <w:rFonts w:ascii="Times New Roman" w:hAnsi="Times New Roman"/>
          <w:sz w:val="24"/>
          <w:szCs w:val="24"/>
        </w:rPr>
        <w:t xml:space="preserve">Архипова О. Е. Анализ встречаемости онкологических заболеваний в Ростовской области. Пространственно-временная статистика / Архипова О. Е., Черногубова Е. А., Лихтанская Н. В., Тарасов В. А., Кит О. И., Матишов Д. Г. // Фундаментальные исследования. – 2013. – № 7-3. – С. 504-510. </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rPr>
      </w:pPr>
      <w:r w:rsidRPr="00484C8B">
        <w:rPr>
          <w:rFonts w:ascii="Times New Roman" w:hAnsi="Times New Roman"/>
          <w:sz w:val="24"/>
          <w:szCs w:val="24"/>
        </w:rPr>
        <w:t>Архипова О. Е. Уровень онкологических заболеваний как индикатор медико-экологической безопасности территории (на примере Ростовской области) / Архипова О. Е., Черногубова Е. А., Тарасов В. А., Лихтанская Н. В., Кит О. И., Еремеева А. А., Матишов Д. Г. // Вестник Южного научного центра РАН. – 2013. – Т. 9. – № 3. – С.7-14.</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rPr>
      </w:pPr>
      <w:r w:rsidRPr="00484C8B">
        <w:rPr>
          <w:rFonts w:ascii="Times New Roman" w:hAnsi="Times New Roman"/>
          <w:sz w:val="24"/>
          <w:szCs w:val="24"/>
        </w:rPr>
        <w:t>Кит О. И. Проблема колоректального рака XXI века: достижения и перспективы / Кит О. И.// Российский журнал гастроэнтерологии, гепатологии, колопроктологии. – 2013. – Т. 23. – № 3. – С.65-71.</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rPr>
      </w:pPr>
      <w:r w:rsidRPr="00484C8B">
        <w:rPr>
          <w:rFonts w:ascii="Times New Roman" w:hAnsi="Times New Roman"/>
          <w:sz w:val="24"/>
          <w:szCs w:val="24"/>
        </w:rPr>
        <w:t>Кит О. И. Первый опыт детекции циркулирующих опухолевых клеток в периферической крови / Кит О. И., Новикова И. А., Бахтин А. В., Никипелова Е. А., Шатова Ю. С., Габараева В. М., Нистратова О. В. // Международный журнал экспериментального образования. – 2013. – № 11. – С. 37-39.</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rPr>
      </w:pPr>
      <w:r w:rsidRPr="00484C8B">
        <w:rPr>
          <w:rFonts w:ascii="Times New Roman" w:hAnsi="Times New Roman"/>
          <w:sz w:val="24"/>
          <w:szCs w:val="24"/>
        </w:rPr>
        <w:t xml:space="preserve">Непомнящая Е. М. Циркулирующие опухолевые клетки и некоторые морфо- иммуногистохимические показатели при колоректальном раке / Непомнящая Е. М., Кит О. И., Нистратова О. В., Новикова И. А., Никипелова Е. А., Бахтин А. В., Ульянова Е. П., Вострикова Ж. И., Селютина О. Н. // Современные проблемы науки и образования. – 2016. – № 2. </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rPr>
      </w:pPr>
      <w:r w:rsidRPr="00484C8B">
        <w:rPr>
          <w:rFonts w:ascii="Times New Roman" w:hAnsi="Times New Roman"/>
          <w:sz w:val="24"/>
          <w:szCs w:val="24"/>
        </w:rPr>
        <w:t>Осинский С.П. Диссеминированные опухолевые клетки в крови и костном мозге (молекулярный прогноз в клинической онкологии) / С.П. Осинский, Д.Ф. Глузман // Онкология. — 2006. — Т. 8, № 2. — С. 102-108.</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rPr>
      </w:pPr>
      <w:r w:rsidRPr="00484C8B">
        <w:rPr>
          <w:rFonts w:ascii="Times New Roman" w:hAnsi="Times New Roman"/>
          <w:sz w:val="24"/>
          <w:szCs w:val="24"/>
        </w:rPr>
        <w:t>Тупицын Н.Н. Циркулирующие и диссеминированные раковые клетки при раке молочной железы и раке яичников /  Тупицын Н.Н. // Онкогинекология. – 2013. – № 1. – С. 12-18.</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Bednarz</w:t>
      </w:r>
      <w:r w:rsidRPr="009C181D">
        <w:rPr>
          <w:rFonts w:ascii="Times New Roman" w:hAnsi="Times New Roman"/>
          <w:sz w:val="24"/>
          <w:szCs w:val="24"/>
          <w:lang w:val="en-US"/>
        </w:rPr>
        <w:t>-</w:t>
      </w:r>
      <w:r w:rsidRPr="00484C8B">
        <w:rPr>
          <w:rFonts w:ascii="Times New Roman" w:hAnsi="Times New Roman"/>
          <w:sz w:val="24"/>
          <w:szCs w:val="24"/>
          <w:lang w:val="en-US"/>
        </w:rPr>
        <w:t>Knoll</w:t>
      </w:r>
      <w:r w:rsidRPr="009C181D">
        <w:rPr>
          <w:rFonts w:ascii="Times New Roman" w:hAnsi="Times New Roman"/>
          <w:sz w:val="24"/>
          <w:szCs w:val="24"/>
          <w:lang w:val="en-US"/>
        </w:rPr>
        <w:t xml:space="preserve"> </w:t>
      </w:r>
      <w:r w:rsidRPr="00484C8B">
        <w:rPr>
          <w:rFonts w:ascii="Times New Roman" w:hAnsi="Times New Roman"/>
          <w:sz w:val="24"/>
          <w:szCs w:val="24"/>
          <w:lang w:val="en-US"/>
        </w:rPr>
        <w:t>N</w:t>
      </w:r>
      <w:r w:rsidRPr="009C181D">
        <w:rPr>
          <w:rFonts w:ascii="Times New Roman" w:hAnsi="Times New Roman"/>
          <w:sz w:val="24"/>
          <w:szCs w:val="24"/>
          <w:lang w:val="en-US"/>
        </w:rPr>
        <w:t xml:space="preserve">. </w:t>
      </w:r>
      <w:r w:rsidRPr="00484C8B">
        <w:rPr>
          <w:rFonts w:ascii="Times New Roman" w:hAnsi="Times New Roman"/>
          <w:bCs/>
          <w:sz w:val="24"/>
          <w:szCs w:val="24"/>
          <w:lang w:val="en-US"/>
        </w:rPr>
        <w:t>Plasticity</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of</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disseminating</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cancer</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cells</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in</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patients</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with</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epithelial</w:t>
      </w:r>
      <w:r w:rsidRPr="009C181D">
        <w:rPr>
          <w:rFonts w:ascii="Times New Roman" w:hAnsi="Times New Roman"/>
          <w:bCs/>
          <w:sz w:val="24"/>
          <w:szCs w:val="24"/>
          <w:lang w:val="en-US"/>
        </w:rPr>
        <w:t xml:space="preserve"> </w:t>
      </w:r>
      <w:r w:rsidRPr="00484C8B">
        <w:rPr>
          <w:rFonts w:ascii="Times New Roman" w:hAnsi="Times New Roman"/>
          <w:bCs/>
          <w:sz w:val="24"/>
          <w:szCs w:val="24"/>
          <w:lang w:val="en-US"/>
        </w:rPr>
        <w:t>malignancies</w:t>
      </w:r>
      <w:r w:rsidRPr="009C181D">
        <w:rPr>
          <w:rFonts w:ascii="Times New Roman" w:hAnsi="Times New Roman"/>
          <w:b/>
          <w:bCs/>
          <w:sz w:val="24"/>
          <w:szCs w:val="24"/>
          <w:lang w:val="en-US"/>
        </w:rPr>
        <w:t xml:space="preserve"> </w:t>
      </w:r>
      <w:r w:rsidRPr="009C181D">
        <w:rPr>
          <w:rFonts w:ascii="Times New Roman" w:hAnsi="Times New Roman"/>
          <w:sz w:val="24"/>
          <w:szCs w:val="24"/>
          <w:lang w:val="en-US"/>
        </w:rPr>
        <w:t xml:space="preserve">/ </w:t>
      </w:r>
      <w:r w:rsidRPr="00484C8B">
        <w:rPr>
          <w:rFonts w:ascii="Times New Roman" w:hAnsi="Times New Roman"/>
          <w:sz w:val="24"/>
          <w:szCs w:val="24"/>
          <w:lang w:val="en-US"/>
        </w:rPr>
        <w:t>Bednarz</w:t>
      </w:r>
      <w:r w:rsidRPr="009C181D">
        <w:rPr>
          <w:rFonts w:ascii="Times New Roman" w:hAnsi="Times New Roman"/>
          <w:sz w:val="24"/>
          <w:szCs w:val="24"/>
          <w:lang w:val="en-US"/>
        </w:rPr>
        <w:t>-</w:t>
      </w:r>
      <w:r w:rsidRPr="00484C8B">
        <w:rPr>
          <w:rFonts w:ascii="Times New Roman" w:hAnsi="Times New Roman"/>
          <w:sz w:val="24"/>
          <w:szCs w:val="24"/>
          <w:lang w:val="en-US"/>
        </w:rPr>
        <w:t>Knoll</w:t>
      </w:r>
      <w:r w:rsidRPr="009C181D">
        <w:rPr>
          <w:rFonts w:ascii="Times New Roman" w:hAnsi="Times New Roman"/>
          <w:sz w:val="24"/>
          <w:szCs w:val="24"/>
          <w:lang w:val="en-US"/>
        </w:rPr>
        <w:t xml:space="preserve"> </w:t>
      </w:r>
      <w:r w:rsidRPr="00484C8B">
        <w:rPr>
          <w:rFonts w:ascii="Times New Roman" w:hAnsi="Times New Roman"/>
          <w:sz w:val="24"/>
          <w:szCs w:val="24"/>
          <w:lang w:val="en-US"/>
        </w:rPr>
        <w:t>N</w:t>
      </w:r>
      <w:r w:rsidRPr="009C181D">
        <w:rPr>
          <w:rFonts w:ascii="Times New Roman" w:hAnsi="Times New Roman"/>
          <w:sz w:val="24"/>
          <w:szCs w:val="24"/>
          <w:lang w:val="en-US"/>
        </w:rPr>
        <w:t xml:space="preserve">., </w:t>
      </w:r>
      <w:r w:rsidRPr="00484C8B">
        <w:rPr>
          <w:rFonts w:ascii="Times New Roman" w:hAnsi="Times New Roman"/>
          <w:sz w:val="24"/>
          <w:szCs w:val="24"/>
          <w:lang w:val="en-US"/>
        </w:rPr>
        <w:t>Alix</w:t>
      </w:r>
      <w:r w:rsidRPr="009C181D">
        <w:rPr>
          <w:rFonts w:ascii="Times New Roman" w:hAnsi="Times New Roman"/>
          <w:sz w:val="24"/>
          <w:szCs w:val="24"/>
          <w:lang w:val="en-US"/>
        </w:rPr>
        <w:t>-</w:t>
      </w:r>
      <w:r w:rsidRPr="00484C8B">
        <w:rPr>
          <w:rFonts w:ascii="Times New Roman" w:hAnsi="Times New Roman"/>
          <w:sz w:val="24"/>
          <w:szCs w:val="24"/>
          <w:lang w:val="en-US"/>
        </w:rPr>
        <w:t xml:space="preserve">Panabieres C., Pantel K. // </w:t>
      </w:r>
      <w:hyperlink r:id="rId7" w:tooltip="Cancer metastasis reviews." w:history="1">
        <w:r w:rsidRPr="00484C8B">
          <w:rPr>
            <w:rStyle w:val="Hyperlink"/>
            <w:rFonts w:ascii="Times New Roman" w:hAnsi="Times New Roman"/>
            <w:color w:val="auto"/>
            <w:sz w:val="24"/>
            <w:szCs w:val="24"/>
            <w:u w:val="none"/>
            <w:lang w:val="en-US"/>
          </w:rPr>
          <w:t>Cancer Metastasis Rev.</w:t>
        </w:r>
      </w:hyperlink>
      <w:r w:rsidRPr="00484C8B">
        <w:rPr>
          <w:rFonts w:ascii="Times New Roman" w:hAnsi="Times New Roman"/>
          <w:sz w:val="24"/>
          <w:szCs w:val="24"/>
          <w:lang w:val="en-US"/>
        </w:rPr>
        <w:t xml:space="preserve"> – 2012. – Vol. 3-4. – P. 673-87. doi: 10.1007/s10555-012-9370-z.</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iCs/>
          <w:sz w:val="24"/>
          <w:szCs w:val="24"/>
          <w:lang w:val="en-US"/>
        </w:rPr>
        <w:t xml:space="preserve">Eggermont A. M. </w:t>
      </w:r>
      <w:r w:rsidRPr="00484C8B">
        <w:rPr>
          <w:rFonts w:ascii="Times New Roman" w:hAnsi="Times New Roman"/>
          <w:sz w:val="24"/>
          <w:szCs w:val="24"/>
          <w:lang w:val="en-US"/>
        </w:rPr>
        <w:t xml:space="preserve">Local regional promotion of tumor growth after abdominal surgery is dominant over immunotherapy with interleukin-2 and lymphokine activated killer cells / </w:t>
      </w:r>
      <w:r w:rsidRPr="00484C8B">
        <w:rPr>
          <w:rFonts w:ascii="Times New Roman" w:hAnsi="Times New Roman"/>
          <w:iCs/>
          <w:sz w:val="24"/>
          <w:szCs w:val="24"/>
          <w:lang w:val="en-US"/>
        </w:rPr>
        <w:t xml:space="preserve">Eggermont A. M., Steller E. P., Marquet R. L. </w:t>
      </w:r>
      <w:r w:rsidRPr="00484C8B">
        <w:rPr>
          <w:rFonts w:ascii="Times New Roman" w:hAnsi="Times New Roman"/>
          <w:sz w:val="24"/>
          <w:szCs w:val="24"/>
          <w:lang w:val="en-US"/>
        </w:rPr>
        <w:t xml:space="preserve">et al. // Cancer. Detect. Prev. – 1988. – Vol. 12. – P. 421–429. </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Fehm T. Clinical utility of serial serum c-erbB-2 determinations in the follow-up of breast cancer patients / Fehm T, Gebauer G, Jäger W. // Breast Cancer Res Treat. – 2002. – Vol. 75. – P. 97–106.</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Gafforio J.J. Detection of breast cancer cells in the peripheral blood is positively correlated with estrogen receptor status and predicts for poor prognosis / Gafforio J.J., Serrano M.J., Sanches Rovira P. et al. // Int. J. Cancer. – 2003. – Vol. 107. – № 6. – P. 984–990.</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iCs/>
          <w:sz w:val="24"/>
          <w:szCs w:val="24"/>
          <w:lang w:val="en-US"/>
        </w:rPr>
        <w:t xml:space="preserve">Goshima H. </w:t>
      </w:r>
      <w:r w:rsidRPr="00484C8B">
        <w:rPr>
          <w:rFonts w:ascii="Times New Roman" w:hAnsi="Times New Roman"/>
          <w:sz w:val="24"/>
          <w:szCs w:val="24"/>
          <w:lang w:val="en-US"/>
        </w:rPr>
        <w:t xml:space="preserve">Experimental study on preventive effects of lung metastases using LAK cells induced from various lymphocytes: special references to enhancement of lung metastasis after laparotomy stress / </w:t>
      </w:r>
      <w:r w:rsidRPr="00484C8B">
        <w:rPr>
          <w:rFonts w:ascii="Times New Roman" w:hAnsi="Times New Roman"/>
          <w:iCs/>
          <w:sz w:val="24"/>
          <w:szCs w:val="24"/>
          <w:lang w:val="en-US"/>
        </w:rPr>
        <w:t xml:space="preserve">Goshima H., Saji S., Furuta T. </w:t>
      </w:r>
      <w:r w:rsidRPr="00484C8B">
        <w:rPr>
          <w:rFonts w:ascii="Times New Roman" w:hAnsi="Times New Roman"/>
          <w:sz w:val="24"/>
          <w:szCs w:val="24"/>
          <w:lang w:val="en-US"/>
        </w:rPr>
        <w:t>et al.// Jpn J. Surg. Soc. – 1989. – Vol. 90. – P. 1245–1250.</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 xml:space="preserve">Lu X. VCAM-1 promotes osteolytic expansion of indolent bone micrometastasis of breast cancer by engaging </w:t>
      </w:r>
      <w:r w:rsidRPr="00484C8B">
        <w:rPr>
          <w:rFonts w:ascii="Times New Roman" w:hAnsi="Times New Roman"/>
          <w:sz w:val="24"/>
          <w:szCs w:val="24"/>
        </w:rPr>
        <w:t>α</w:t>
      </w:r>
      <w:r w:rsidRPr="00484C8B">
        <w:rPr>
          <w:rFonts w:ascii="Times New Roman" w:hAnsi="Times New Roman"/>
          <w:sz w:val="24"/>
          <w:szCs w:val="24"/>
          <w:lang w:val="en-US"/>
        </w:rPr>
        <w:t>4</w:t>
      </w:r>
      <w:r w:rsidRPr="00484C8B">
        <w:rPr>
          <w:rFonts w:ascii="Times New Roman" w:hAnsi="Times New Roman"/>
          <w:sz w:val="24"/>
          <w:szCs w:val="24"/>
        </w:rPr>
        <w:t>β</w:t>
      </w:r>
      <w:r w:rsidRPr="00484C8B">
        <w:rPr>
          <w:rFonts w:ascii="Times New Roman" w:hAnsi="Times New Roman"/>
          <w:sz w:val="24"/>
          <w:szCs w:val="24"/>
          <w:lang w:val="en-US"/>
        </w:rPr>
        <w:t>1-positive osteoclast progenitors / Lu X</w:t>
      </w:r>
      <w:r w:rsidRPr="00484C8B">
        <w:rPr>
          <w:rFonts w:ascii="Times New Roman" w:hAnsi="Times New Roman"/>
          <w:bCs/>
          <w:sz w:val="24"/>
          <w:szCs w:val="24"/>
          <w:lang w:val="en-US"/>
        </w:rPr>
        <w:t>,</w:t>
      </w:r>
      <w:r w:rsidRPr="00484C8B">
        <w:rPr>
          <w:rFonts w:ascii="Times New Roman" w:hAnsi="Times New Roman"/>
          <w:sz w:val="24"/>
          <w:szCs w:val="24"/>
          <w:lang w:val="en-US"/>
        </w:rPr>
        <w:t> Mu E, Wei Y, Riethdorf S, Yang Q, Yuan M, Yan J, Hua Y, Tiede B, </w:t>
      </w:r>
      <w:r w:rsidRPr="00484C8B">
        <w:rPr>
          <w:rFonts w:ascii="Times New Roman" w:hAnsi="Times New Roman"/>
          <w:bCs/>
          <w:sz w:val="24"/>
          <w:szCs w:val="24"/>
          <w:lang w:val="en-US"/>
        </w:rPr>
        <w:t>Lu X</w:t>
      </w:r>
      <w:r w:rsidRPr="00484C8B">
        <w:rPr>
          <w:rFonts w:ascii="Times New Roman" w:hAnsi="Times New Roman"/>
          <w:sz w:val="24"/>
          <w:szCs w:val="24"/>
          <w:lang w:val="en-US"/>
        </w:rPr>
        <w:t xml:space="preserve">, Haffty B, Pantel K, Massagué J, and Kang Y. // </w:t>
      </w:r>
      <w:r w:rsidRPr="00484C8B">
        <w:rPr>
          <w:rFonts w:ascii="Times New Roman" w:hAnsi="Times New Roman"/>
          <w:iCs/>
          <w:sz w:val="24"/>
          <w:szCs w:val="24"/>
          <w:lang w:val="en-US"/>
        </w:rPr>
        <w:t>Cancer Cell</w:t>
      </w:r>
      <w:r w:rsidRPr="00484C8B">
        <w:rPr>
          <w:rFonts w:ascii="Times New Roman" w:hAnsi="Times New Roman"/>
          <w:sz w:val="24"/>
          <w:szCs w:val="24"/>
          <w:lang w:val="en-US"/>
        </w:rPr>
        <w:t>. – 2011. – Vol. 20(6). – P. 701-14.</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 xml:space="preserve">Pantel, K. Circulating tumour cells in cancer patients: challenges and perspectives / Pantel K.,  Alix-Panabieres C. // </w:t>
      </w:r>
      <w:r w:rsidRPr="00484C8B">
        <w:rPr>
          <w:rFonts w:ascii="Times New Roman" w:hAnsi="Times New Roman"/>
          <w:iCs/>
          <w:sz w:val="24"/>
          <w:szCs w:val="24"/>
          <w:lang w:val="en-US"/>
        </w:rPr>
        <w:t>Trends Mol. Med.</w:t>
      </w:r>
      <w:r w:rsidRPr="00484C8B">
        <w:rPr>
          <w:rFonts w:ascii="Times New Roman" w:hAnsi="Times New Roman"/>
          <w:sz w:val="24"/>
          <w:szCs w:val="24"/>
          <w:lang w:val="en-US"/>
        </w:rPr>
        <w:t xml:space="preserve"> – 2010. – Vol. </w:t>
      </w:r>
      <w:r w:rsidRPr="00484C8B">
        <w:rPr>
          <w:rFonts w:ascii="Times New Roman" w:hAnsi="Times New Roman"/>
          <w:bCs/>
          <w:sz w:val="24"/>
          <w:szCs w:val="24"/>
          <w:lang w:val="en-US"/>
        </w:rPr>
        <w:t>16</w:t>
      </w:r>
      <w:r w:rsidRPr="00484C8B">
        <w:rPr>
          <w:rFonts w:ascii="Times New Roman" w:hAnsi="Times New Roman"/>
          <w:sz w:val="24"/>
          <w:szCs w:val="24"/>
          <w:lang w:val="en-US"/>
        </w:rPr>
        <w:t>. – P. 398–406.</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hyperlink r:id="rId8" w:history="1">
        <w:r w:rsidRPr="00484C8B">
          <w:rPr>
            <w:rStyle w:val="Hyperlink"/>
            <w:rFonts w:ascii="Times New Roman" w:hAnsi="Times New Roman"/>
            <w:iCs/>
            <w:color w:val="auto"/>
            <w:sz w:val="24"/>
            <w:szCs w:val="24"/>
            <w:u w:val="none"/>
            <w:lang w:val="en-US"/>
          </w:rPr>
          <w:t>Sákra L</w:t>
        </w:r>
      </w:hyperlink>
      <w:r w:rsidRPr="00484C8B">
        <w:rPr>
          <w:rFonts w:ascii="Times New Roman" w:hAnsi="Times New Roman"/>
          <w:iCs/>
          <w:sz w:val="24"/>
          <w:szCs w:val="24"/>
          <w:lang w:val="en-US"/>
        </w:rPr>
        <w:t>., </w:t>
      </w:r>
      <w:hyperlink r:id="rId9" w:history="1">
        <w:r w:rsidRPr="00484C8B">
          <w:rPr>
            <w:rStyle w:val="Hyperlink"/>
            <w:rFonts w:ascii="Times New Roman" w:hAnsi="Times New Roman"/>
            <w:iCs/>
            <w:color w:val="auto"/>
            <w:sz w:val="24"/>
            <w:szCs w:val="24"/>
            <w:u w:val="none"/>
            <w:lang w:val="en-US"/>
          </w:rPr>
          <w:t>Lotková H</w:t>
        </w:r>
      </w:hyperlink>
      <w:r w:rsidRPr="00484C8B">
        <w:rPr>
          <w:rFonts w:ascii="Times New Roman" w:hAnsi="Times New Roman"/>
          <w:iCs/>
          <w:sz w:val="24"/>
          <w:szCs w:val="24"/>
          <w:lang w:val="en-US"/>
        </w:rPr>
        <w:t>., </w:t>
      </w:r>
      <w:hyperlink r:id="rId10" w:history="1">
        <w:r w:rsidRPr="00484C8B">
          <w:rPr>
            <w:rStyle w:val="Hyperlink"/>
            <w:rFonts w:ascii="Times New Roman" w:hAnsi="Times New Roman"/>
            <w:iCs/>
            <w:color w:val="auto"/>
            <w:sz w:val="24"/>
            <w:szCs w:val="24"/>
            <w:u w:val="none"/>
            <w:lang w:val="en-US"/>
          </w:rPr>
          <w:t>Kohoutek L</w:t>
        </w:r>
      </w:hyperlink>
      <w:r w:rsidRPr="00484C8B">
        <w:rPr>
          <w:rFonts w:ascii="Times New Roman" w:hAnsi="Times New Roman"/>
          <w:iCs/>
          <w:sz w:val="24"/>
          <w:szCs w:val="24"/>
          <w:lang w:val="en-US"/>
        </w:rPr>
        <w:t>., </w:t>
      </w:r>
      <w:hyperlink r:id="rId11" w:history="1">
        <w:r w:rsidRPr="00484C8B">
          <w:rPr>
            <w:rStyle w:val="Hyperlink"/>
            <w:rFonts w:ascii="Times New Roman" w:hAnsi="Times New Roman"/>
            <w:iCs/>
            <w:color w:val="auto"/>
            <w:sz w:val="24"/>
            <w:szCs w:val="24"/>
            <w:u w:val="none"/>
            <w:lang w:val="en-US"/>
          </w:rPr>
          <w:t>Siller J</w:t>
        </w:r>
      </w:hyperlink>
      <w:r w:rsidRPr="00484C8B">
        <w:rPr>
          <w:rFonts w:ascii="Times New Roman" w:hAnsi="Times New Roman"/>
          <w:iCs/>
          <w:sz w:val="24"/>
          <w:szCs w:val="24"/>
          <w:lang w:val="en-US"/>
        </w:rPr>
        <w:t xml:space="preserve">. </w:t>
      </w:r>
      <w:r w:rsidRPr="00484C8B">
        <w:rPr>
          <w:rFonts w:ascii="Times New Roman" w:hAnsi="Times New Roman"/>
          <w:sz w:val="24"/>
          <w:szCs w:val="24"/>
          <w:lang w:val="en-US"/>
        </w:rPr>
        <w:t>Different impact of the laparoscopic and laparotomic approach on the immune response induced by surgical procedure // Rozhl. Chir. 2011 Vol. 90, №6. P. 324–328</w:t>
      </w:r>
    </w:p>
    <w:p w:rsidR="00992C7E" w:rsidRPr="00484C8B" w:rsidRDefault="00992C7E" w:rsidP="00316ECD">
      <w:pPr>
        <w:pStyle w:val="ListParagraph"/>
        <w:numPr>
          <w:ilvl w:val="0"/>
          <w:numId w:val="6"/>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Shah M. Keeping an open mind: highlights and controversies of the breast cancer stem cell theory / Shah M., Allergucci C. // Breast cancer: targets and therapy. – 2012. – V. 4. – P. 155–166.</w:t>
      </w:r>
    </w:p>
    <w:p w:rsidR="00992C7E" w:rsidRDefault="00992C7E" w:rsidP="00316ECD">
      <w:pPr>
        <w:tabs>
          <w:tab w:val="left" w:pos="993"/>
        </w:tabs>
        <w:spacing w:line="240" w:lineRule="auto"/>
        <w:ind w:firstLine="567"/>
        <w:contextualSpacing/>
        <w:jc w:val="both"/>
        <w:rPr>
          <w:rFonts w:ascii="Times New Roman" w:hAnsi="Times New Roman"/>
          <w:b/>
          <w:sz w:val="24"/>
          <w:szCs w:val="24"/>
        </w:rPr>
      </w:pPr>
      <w:r w:rsidRPr="00EB2C71">
        <w:rPr>
          <w:rFonts w:ascii="Times New Roman" w:hAnsi="Times New Roman"/>
          <w:b/>
          <w:sz w:val="24"/>
          <w:szCs w:val="24"/>
          <w:lang w:val="en-US"/>
        </w:rPr>
        <w:t>References</w:t>
      </w:r>
      <w:r w:rsidRPr="004B6DD1">
        <w:rPr>
          <w:rFonts w:ascii="Times New Roman" w:hAnsi="Times New Roman"/>
          <w:b/>
          <w:sz w:val="24"/>
          <w:szCs w:val="24"/>
          <w:lang w:val="en-US"/>
        </w:rPr>
        <w:t>:</w:t>
      </w:r>
    </w:p>
    <w:p w:rsidR="00992C7E" w:rsidRPr="00FE229F"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FE229F">
        <w:rPr>
          <w:rFonts w:ascii="Times New Roman" w:hAnsi="Times New Roman"/>
          <w:sz w:val="24"/>
          <w:szCs w:val="24"/>
          <w:lang w:val="en-US"/>
        </w:rPr>
        <w:t xml:space="preserve">Arhipova O. E. Analiz vstrechaemosti onkologicheskih zabolevanij v Rostovskoj oblasti. Prostranstvenno-vremennaja statistika / Arhipova O. E., Chernogubova E. A., Lihtanskaja N. V., Tarasov V. A., Kit O. I., Matishov D. G. // Fundamental'nye issledovanija. – 2013. – № 7-3. – S. 504-510. </w:t>
      </w:r>
    </w:p>
    <w:p w:rsidR="00992C7E" w:rsidRPr="00FE229F"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FE229F">
        <w:rPr>
          <w:rFonts w:ascii="Times New Roman" w:hAnsi="Times New Roman"/>
          <w:sz w:val="24"/>
          <w:szCs w:val="24"/>
          <w:lang w:val="en-US"/>
        </w:rPr>
        <w:t>Arhipova O. E. Uroven' onkologicheskih zabolevanij kak indikator mediko-jekologicheskoj bezopasnosti territorii (na primere Rostovskoj oblasti) / Arhipova O. E., Chernogubova E. A., Tarasov V. A., Lihtanskaja N. V., Kit O. I., Eremeeva A. A., Matishov D. G. // Vestnik Juzhnogo nauchnogo centra RAN. – 2013. – T. 9. – № 3. – S.7-14.</w:t>
      </w:r>
    </w:p>
    <w:p w:rsidR="00992C7E" w:rsidRPr="00FE229F"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FE229F">
        <w:rPr>
          <w:rFonts w:ascii="Times New Roman" w:hAnsi="Times New Roman"/>
          <w:sz w:val="24"/>
          <w:szCs w:val="24"/>
          <w:lang w:val="en-US"/>
        </w:rPr>
        <w:t>Kit O. I. Problema kolorektal'nogo raka XXI veka: dostizhenija i perspektivy / Kit O. I. // Rossijskij zhurnal gastrojenterologii, gepatologii, koloproktologii. – 2013. – T. 23. – № 3. – S.65-71.</w:t>
      </w:r>
    </w:p>
    <w:p w:rsidR="00992C7E" w:rsidRPr="00FE229F"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FE229F">
        <w:rPr>
          <w:rFonts w:ascii="Times New Roman" w:hAnsi="Times New Roman"/>
          <w:sz w:val="24"/>
          <w:szCs w:val="24"/>
          <w:lang w:val="en-US"/>
        </w:rPr>
        <w:t>Kit O. I. Pervyj opyt detekcii cirkulirujushhih opuholevyh kletok v perifericheskoj krovi / Kit O. I., Novikova I. A., Bahtin A. V., Nikipelova E. A., Shatova Ju. S., Gabaraeva V. M., Nistratova O. V. // Mezhdunarodnyj zhurnal jeksperimental'nogo obrazovanija. – 2013. – № 11. – S. 37-39.</w:t>
      </w:r>
    </w:p>
    <w:p w:rsidR="00992C7E" w:rsidRPr="00FE229F"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FE229F">
        <w:rPr>
          <w:rFonts w:ascii="Times New Roman" w:hAnsi="Times New Roman"/>
          <w:sz w:val="24"/>
          <w:szCs w:val="24"/>
          <w:lang w:val="en-US"/>
        </w:rPr>
        <w:t xml:space="preserve">Nepomnjashhaja E. M. Cirkulirujushhie opuholevye kletki i nekotorye morfo- immunogistohimicheskie pokazateli pri kolorektal'nom rake / Nepomnjashhaja E. M., Kit O. I., Nistratova O. V., Novikova I. A., Nikipelova E. A., Bahtin A. V., Ul'janova E. P., Vostrikova Zh. I., Seljutina O. N. // Sovremennye problemy nauki i obrazovanija. – 2016. – № 2. </w:t>
      </w:r>
    </w:p>
    <w:p w:rsidR="00992C7E" w:rsidRPr="00FE229F"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FE229F">
        <w:rPr>
          <w:rFonts w:ascii="Times New Roman" w:hAnsi="Times New Roman"/>
          <w:sz w:val="24"/>
          <w:szCs w:val="24"/>
          <w:lang w:val="en-US"/>
        </w:rPr>
        <w:t>Osinskij S.P. Disseminirovannye opuholevye kletki v krovi i kostnom mozge (molekuljarnyj prognoz v klinicheskoj onkologii) / S.P. Osinskij, D.F. Gluzman // Onkologija. — 2006. — T. 8, № 2. — S. 102-108.</w:t>
      </w:r>
    </w:p>
    <w:p w:rsidR="00992C7E" w:rsidRPr="009C181D"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9C181D">
        <w:rPr>
          <w:rFonts w:ascii="Times New Roman" w:hAnsi="Times New Roman"/>
          <w:sz w:val="24"/>
          <w:szCs w:val="24"/>
          <w:lang w:val="en-US"/>
        </w:rPr>
        <w:t>Tupicyn N.N. Cirkulirujushhie i disseminirovannye rakovye kletki pri rake molochnoj zhelezy i rake jaichnikov /  Tupicyn N.N. // Onkoginekologija. – 2013. – № 1. – S. 12-18.</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 xml:space="preserve">Bednarz-Knoll N. </w:t>
      </w:r>
      <w:r w:rsidRPr="00484C8B">
        <w:rPr>
          <w:rFonts w:ascii="Times New Roman" w:hAnsi="Times New Roman"/>
          <w:bCs/>
          <w:sz w:val="24"/>
          <w:szCs w:val="24"/>
          <w:lang w:val="en-US"/>
        </w:rPr>
        <w:t>Plasticity of disseminating cancer cells in patients with epithelial malignancies</w:t>
      </w:r>
      <w:r w:rsidRPr="00484C8B">
        <w:rPr>
          <w:rFonts w:ascii="Times New Roman" w:hAnsi="Times New Roman"/>
          <w:b/>
          <w:bCs/>
          <w:sz w:val="24"/>
          <w:szCs w:val="24"/>
          <w:lang w:val="en-US"/>
        </w:rPr>
        <w:t xml:space="preserve"> </w:t>
      </w:r>
      <w:r w:rsidRPr="00484C8B">
        <w:rPr>
          <w:rFonts w:ascii="Times New Roman" w:hAnsi="Times New Roman"/>
          <w:sz w:val="24"/>
          <w:szCs w:val="24"/>
          <w:lang w:val="en-US"/>
        </w:rPr>
        <w:t xml:space="preserve">/ Bednarz-Knoll N., Alix-Panabieres C., Pantel K. // </w:t>
      </w:r>
      <w:hyperlink r:id="rId12" w:tooltip="Cancer metastasis reviews." w:history="1">
        <w:r w:rsidRPr="00484C8B">
          <w:rPr>
            <w:rStyle w:val="Hyperlink"/>
            <w:rFonts w:ascii="Times New Roman" w:hAnsi="Times New Roman"/>
            <w:color w:val="auto"/>
            <w:sz w:val="24"/>
            <w:szCs w:val="24"/>
            <w:u w:val="none"/>
            <w:lang w:val="en-US"/>
          </w:rPr>
          <w:t>Cancer Metastasis Rev.</w:t>
        </w:r>
      </w:hyperlink>
      <w:r w:rsidRPr="00484C8B">
        <w:rPr>
          <w:rFonts w:ascii="Times New Roman" w:hAnsi="Times New Roman"/>
          <w:sz w:val="24"/>
          <w:szCs w:val="24"/>
          <w:lang w:val="en-US"/>
        </w:rPr>
        <w:t xml:space="preserve"> – 2012. – Vol. 3-4. – P. 673-87. doi: 10.1007/s10555-012-9370-z.</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iCs/>
          <w:sz w:val="24"/>
          <w:szCs w:val="24"/>
          <w:lang w:val="en-US"/>
        </w:rPr>
        <w:t xml:space="preserve">Eggermont A. M. </w:t>
      </w:r>
      <w:r w:rsidRPr="00484C8B">
        <w:rPr>
          <w:rFonts w:ascii="Times New Roman" w:hAnsi="Times New Roman"/>
          <w:sz w:val="24"/>
          <w:szCs w:val="24"/>
          <w:lang w:val="en-US"/>
        </w:rPr>
        <w:t xml:space="preserve">Local regional promotion of tumor growth after abdominal surgery is dominant over immunotherapy with interleukin-2 and lymphokine activated killer cells / </w:t>
      </w:r>
      <w:r w:rsidRPr="00484C8B">
        <w:rPr>
          <w:rFonts w:ascii="Times New Roman" w:hAnsi="Times New Roman"/>
          <w:iCs/>
          <w:sz w:val="24"/>
          <w:szCs w:val="24"/>
          <w:lang w:val="en-US"/>
        </w:rPr>
        <w:t xml:space="preserve">Eggermont A. M., Steller E. P., Marquet R. L. </w:t>
      </w:r>
      <w:r w:rsidRPr="00484C8B">
        <w:rPr>
          <w:rFonts w:ascii="Times New Roman" w:hAnsi="Times New Roman"/>
          <w:sz w:val="24"/>
          <w:szCs w:val="24"/>
          <w:lang w:val="en-US"/>
        </w:rPr>
        <w:t xml:space="preserve">et al. // Cancer. Detect. Prev. – 1988. – Vol. 12. – P. 421–429. </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Fehm T. Clinical utility of serial serum c-erbB-2 determinations in the follow-up of breast cancer patients / Fehm T, Gebauer G, Jäger W. // Breast Cancer Res Treat. – 2002. – Vol. 75. – P. 97–106.</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Gafforio J.J. Detection of breast cancer cells in the peripheral blood is positively correlated with estrogen receptor status and predicts for poor prognosis / Gafforio J.J., Serrano M.J., Sanches Rovira P. et al. // Int. J. Cancer. – 2003. – Vol. 107. – № 6. – P. 984–990.</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iCs/>
          <w:sz w:val="24"/>
          <w:szCs w:val="24"/>
          <w:lang w:val="en-US"/>
        </w:rPr>
        <w:t xml:space="preserve">Goshima H. </w:t>
      </w:r>
      <w:r w:rsidRPr="00484C8B">
        <w:rPr>
          <w:rFonts w:ascii="Times New Roman" w:hAnsi="Times New Roman"/>
          <w:sz w:val="24"/>
          <w:szCs w:val="24"/>
          <w:lang w:val="en-US"/>
        </w:rPr>
        <w:t xml:space="preserve">Experimental study on preventive effects of lung metastases using LAK cells induced from various lymphocytes: special references to enhancement of lung metastasis after laparotomy stress / </w:t>
      </w:r>
      <w:r w:rsidRPr="00484C8B">
        <w:rPr>
          <w:rFonts w:ascii="Times New Roman" w:hAnsi="Times New Roman"/>
          <w:iCs/>
          <w:sz w:val="24"/>
          <w:szCs w:val="24"/>
          <w:lang w:val="en-US"/>
        </w:rPr>
        <w:t xml:space="preserve">Goshima H., Saji S., Furuta T. </w:t>
      </w:r>
      <w:r w:rsidRPr="00484C8B">
        <w:rPr>
          <w:rFonts w:ascii="Times New Roman" w:hAnsi="Times New Roman"/>
          <w:sz w:val="24"/>
          <w:szCs w:val="24"/>
          <w:lang w:val="en-US"/>
        </w:rPr>
        <w:t>et al.// Jpn J. Surg. Soc. – 1989. – Vol. 90. – P. 1245–1250.</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 xml:space="preserve">Lu X. VCAM-1 promotes osteolytic expansion of indolent bone micrometastasis of breast cancer by engaging </w:t>
      </w:r>
      <w:r w:rsidRPr="00484C8B">
        <w:rPr>
          <w:rFonts w:ascii="Times New Roman" w:hAnsi="Times New Roman"/>
          <w:sz w:val="24"/>
          <w:szCs w:val="24"/>
        </w:rPr>
        <w:t>α</w:t>
      </w:r>
      <w:r w:rsidRPr="00484C8B">
        <w:rPr>
          <w:rFonts w:ascii="Times New Roman" w:hAnsi="Times New Roman"/>
          <w:sz w:val="24"/>
          <w:szCs w:val="24"/>
          <w:lang w:val="en-US"/>
        </w:rPr>
        <w:t>4</w:t>
      </w:r>
      <w:r w:rsidRPr="00484C8B">
        <w:rPr>
          <w:rFonts w:ascii="Times New Roman" w:hAnsi="Times New Roman"/>
          <w:sz w:val="24"/>
          <w:szCs w:val="24"/>
        </w:rPr>
        <w:t>β</w:t>
      </w:r>
      <w:r w:rsidRPr="00484C8B">
        <w:rPr>
          <w:rFonts w:ascii="Times New Roman" w:hAnsi="Times New Roman"/>
          <w:sz w:val="24"/>
          <w:szCs w:val="24"/>
          <w:lang w:val="en-US"/>
        </w:rPr>
        <w:t>1-positive osteoclast progenitors / Lu X</w:t>
      </w:r>
      <w:r w:rsidRPr="00484C8B">
        <w:rPr>
          <w:rFonts w:ascii="Times New Roman" w:hAnsi="Times New Roman"/>
          <w:bCs/>
          <w:sz w:val="24"/>
          <w:szCs w:val="24"/>
          <w:lang w:val="en-US"/>
        </w:rPr>
        <w:t>,</w:t>
      </w:r>
      <w:r w:rsidRPr="00484C8B">
        <w:rPr>
          <w:rFonts w:ascii="Times New Roman" w:hAnsi="Times New Roman"/>
          <w:sz w:val="24"/>
          <w:szCs w:val="24"/>
          <w:lang w:val="en-US"/>
        </w:rPr>
        <w:t> Mu E, Wei Y, Riethdorf S, Yang Q, Yuan M, Yan J, Hua Y, Tiede B, </w:t>
      </w:r>
      <w:r w:rsidRPr="00484C8B">
        <w:rPr>
          <w:rFonts w:ascii="Times New Roman" w:hAnsi="Times New Roman"/>
          <w:bCs/>
          <w:sz w:val="24"/>
          <w:szCs w:val="24"/>
          <w:lang w:val="en-US"/>
        </w:rPr>
        <w:t>Lu X</w:t>
      </w:r>
      <w:r w:rsidRPr="00484C8B">
        <w:rPr>
          <w:rFonts w:ascii="Times New Roman" w:hAnsi="Times New Roman"/>
          <w:sz w:val="24"/>
          <w:szCs w:val="24"/>
          <w:lang w:val="en-US"/>
        </w:rPr>
        <w:t xml:space="preserve">, Haffty B, Pantel K, Massagué J, and Kang Y. // </w:t>
      </w:r>
      <w:r w:rsidRPr="00484C8B">
        <w:rPr>
          <w:rFonts w:ascii="Times New Roman" w:hAnsi="Times New Roman"/>
          <w:iCs/>
          <w:sz w:val="24"/>
          <w:szCs w:val="24"/>
          <w:lang w:val="en-US"/>
        </w:rPr>
        <w:t>Cancer Cell</w:t>
      </w:r>
      <w:r w:rsidRPr="00484C8B">
        <w:rPr>
          <w:rFonts w:ascii="Times New Roman" w:hAnsi="Times New Roman"/>
          <w:sz w:val="24"/>
          <w:szCs w:val="24"/>
          <w:lang w:val="en-US"/>
        </w:rPr>
        <w:t>. – 2011. – Vol. 20(6). – P. 701-14.</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 xml:space="preserve">Pantel, K. Circulating tumour cells in cancer patients: challenges and perspectives / Pantel K.,  Alix-Panabieres C. // </w:t>
      </w:r>
      <w:r w:rsidRPr="00484C8B">
        <w:rPr>
          <w:rFonts w:ascii="Times New Roman" w:hAnsi="Times New Roman"/>
          <w:iCs/>
          <w:sz w:val="24"/>
          <w:szCs w:val="24"/>
          <w:lang w:val="en-US"/>
        </w:rPr>
        <w:t>Trends Mol. Med.</w:t>
      </w:r>
      <w:r w:rsidRPr="00484C8B">
        <w:rPr>
          <w:rFonts w:ascii="Times New Roman" w:hAnsi="Times New Roman"/>
          <w:sz w:val="24"/>
          <w:szCs w:val="24"/>
          <w:lang w:val="en-US"/>
        </w:rPr>
        <w:t xml:space="preserve"> – 2010. – Vol. </w:t>
      </w:r>
      <w:r w:rsidRPr="00484C8B">
        <w:rPr>
          <w:rFonts w:ascii="Times New Roman" w:hAnsi="Times New Roman"/>
          <w:bCs/>
          <w:sz w:val="24"/>
          <w:szCs w:val="24"/>
          <w:lang w:val="en-US"/>
        </w:rPr>
        <w:t>16</w:t>
      </w:r>
      <w:r w:rsidRPr="00484C8B">
        <w:rPr>
          <w:rFonts w:ascii="Times New Roman" w:hAnsi="Times New Roman"/>
          <w:sz w:val="24"/>
          <w:szCs w:val="24"/>
          <w:lang w:val="en-US"/>
        </w:rPr>
        <w:t>. – P. 398–406.</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hyperlink r:id="rId13" w:history="1">
        <w:r w:rsidRPr="00484C8B">
          <w:rPr>
            <w:rStyle w:val="Hyperlink"/>
            <w:rFonts w:ascii="Times New Roman" w:hAnsi="Times New Roman"/>
            <w:iCs/>
            <w:color w:val="auto"/>
            <w:sz w:val="24"/>
            <w:szCs w:val="24"/>
            <w:u w:val="none"/>
            <w:lang w:val="en-US"/>
          </w:rPr>
          <w:t>Sákra L</w:t>
        </w:r>
      </w:hyperlink>
      <w:r w:rsidRPr="00484C8B">
        <w:rPr>
          <w:rFonts w:ascii="Times New Roman" w:hAnsi="Times New Roman"/>
          <w:iCs/>
          <w:sz w:val="24"/>
          <w:szCs w:val="24"/>
          <w:lang w:val="en-US"/>
        </w:rPr>
        <w:t>., </w:t>
      </w:r>
      <w:hyperlink r:id="rId14" w:history="1">
        <w:r w:rsidRPr="00484C8B">
          <w:rPr>
            <w:rStyle w:val="Hyperlink"/>
            <w:rFonts w:ascii="Times New Roman" w:hAnsi="Times New Roman"/>
            <w:iCs/>
            <w:color w:val="auto"/>
            <w:sz w:val="24"/>
            <w:szCs w:val="24"/>
            <w:u w:val="none"/>
            <w:lang w:val="en-US"/>
          </w:rPr>
          <w:t>Lotková H</w:t>
        </w:r>
      </w:hyperlink>
      <w:r w:rsidRPr="00484C8B">
        <w:rPr>
          <w:rFonts w:ascii="Times New Roman" w:hAnsi="Times New Roman"/>
          <w:iCs/>
          <w:sz w:val="24"/>
          <w:szCs w:val="24"/>
          <w:lang w:val="en-US"/>
        </w:rPr>
        <w:t>., </w:t>
      </w:r>
      <w:hyperlink r:id="rId15" w:history="1">
        <w:r w:rsidRPr="00484C8B">
          <w:rPr>
            <w:rStyle w:val="Hyperlink"/>
            <w:rFonts w:ascii="Times New Roman" w:hAnsi="Times New Roman"/>
            <w:iCs/>
            <w:color w:val="auto"/>
            <w:sz w:val="24"/>
            <w:szCs w:val="24"/>
            <w:u w:val="none"/>
            <w:lang w:val="en-US"/>
          </w:rPr>
          <w:t>Kohoutek L</w:t>
        </w:r>
      </w:hyperlink>
      <w:r w:rsidRPr="00484C8B">
        <w:rPr>
          <w:rFonts w:ascii="Times New Roman" w:hAnsi="Times New Roman"/>
          <w:iCs/>
          <w:sz w:val="24"/>
          <w:szCs w:val="24"/>
          <w:lang w:val="en-US"/>
        </w:rPr>
        <w:t>., </w:t>
      </w:r>
      <w:hyperlink r:id="rId16" w:history="1">
        <w:r w:rsidRPr="00484C8B">
          <w:rPr>
            <w:rStyle w:val="Hyperlink"/>
            <w:rFonts w:ascii="Times New Roman" w:hAnsi="Times New Roman"/>
            <w:iCs/>
            <w:color w:val="auto"/>
            <w:sz w:val="24"/>
            <w:szCs w:val="24"/>
            <w:u w:val="none"/>
            <w:lang w:val="en-US"/>
          </w:rPr>
          <w:t>Siller J</w:t>
        </w:r>
      </w:hyperlink>
      <w:r w:rsidRPr="00484C8B">
        <w:rPr>
          <w:rFonts w:ascii="Times New Roman" w:hAnsi="Times New Roman"/>
          <w:iCs/>
          <w:sz w:val="24"/>
          <w:szCs w:val="24"/>
          <w:lang w:val="en-US"/>
        </w:rPr>
        <w:t xml:space="preserve">. </w:t>
      </w:r>
      <w:r w:rsidRPr="00484C8B">
        <w:rPr>
          <w:rFonts w:ascii="Times New Roman" w:hAnsi="Times New Roman"/>
          <w:sz w:val="24"/>
          <w:szCs w:val="24"/>
          <w:lang w:val="en-US"/>
        </w:rPr>
        <w:t>Different impact of the laparoscopic and laparotomic approach on the immune response induced by surgical procedure // Rozhl. Chir. 2011 Vol. 90, №6. P. 324–328</w:t>
      </w:r>
    </w:p>
    <w:p w:rsidR="00992C7E" w:rsidRPr="00484C8B" w:rsidRDefault="00992C7E" w:rsidP="00316ECD">
      <w:pPr>
        <w:pStyle w:val="ListParagraph"/>
        <w:numPr>
          <w:ilvl w:val="0"/>
          <w:numId w:val="7"/>
        </w:numPr>
        <w:tabs>
          <w:tab w:val="left" w:pos="993"/>
        </w:tabs>
        <w:spacing w:line="240" w:lineRule="auto"/>
        <w:ind w:left="0" w:firstLine="567"/>
        <w:jc w:val="both"/>
        <w:rPr>
          <w:rFonts w:ascii="Times New Roman" w:hAnsi="Times New Roman"/>
          <w:sz w:val="24"/>
          <w:szCs w:val="24"/>
          <w:lang w:val="en-US"/>
        </w:rPr>
      </w:pPr>
      <w:r w:rsidRPr="00484C8B">
        <w:rPr>
          <w:rFonts w:ascii="Times New Roman" w:hAnsi="Times New Roman"/>
          <w:sz w:val="24"/>
          <w:szCs w:val="24"/>
          <w:lang w:val="en-US"/>
        </w:rPr>
        <w:t>Shah M. Keeping an open mind: highlights and controversies of the breast cancer stem cell theory / Shah M., Allergucci C. // Breast cancer: targets and therapy. – 2012. – V. 4. – P. 155–166.</w:t>
      </w:r>
    </w:p>
    <w:p w:rsidR="00992C7E" w:rsidRPr="00484C8B" w:rsidRDefault="00992C7E" w:rsidP="00484C8B">
      <w:pPr>
        <w:spacing w:line="360" w:lineRule="auto"/>
        <w:contextualSpacing/>
        <w:jc w:val="both"/>
        <w:rPr>
          <w:rFonts w:ascii="Times New Roman" w:eastAsia="Batang" w:hAnsi="Times New Roman"/>
          <w:bCs/>
          <w:sz w:val="28"/>
          <w:szCs w:val="28"/>
          <w:lang w:val="en-US"/>
        </w:rPr>
      </w:pPr>
    </w:p>
    <w:p w:rsidR="00992C7E" w:rsidRPr="004B6DD1" w:rsidRDefault="00992C7E">
      <w:pPr>
        <w:rPr>
          <w:rFonts w:ascii="Times New Roman" w:hAnsi="Times New Roman"/>
          <w:sz w:val="28"/>
          <w:szCs w:val="28"/>
          <w:lang w:val="en-US"/>
        </w:rPr>
      </w:pPr>
    </w:p>
    <w:sectPr w:rsidR="00992C7E" w:rsidRPr="004B6DD1" w:rsidSect="00250E71">
      <w:headerReference w:type="even" r:id="rId17"/>
      <w:headerReference w:type="default" r:id="rId18"/>
      <w:footerReference w:type="default" r:id="rId19"/>
      <w:pgSz w:w="11906" w:h="16838"/>
      <w:pgMar w:top="1418" w:right="1416"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C7E" w:rsidRDefault="00992C7E" w:rsidP="00250E71">
      <w:pPr>
        <w:spacing w:after="0" w:line="240" w:lineRule="auto"/>
      </w:pPr>
      <w:r>
        <w:separator/>
      </w:r>
    </w:p>
  </w:endnote>
  <w:endnote w:type="continuationSeparator" w:id="0">
    <w:p w:rsidR="00992C7E" w:rsidRDefault="00992C7E" w:rsidP="00250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ўа¬»¬¦¬ў"/>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ton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C7E" w:rsidRPr="00B93616" w:rsidRDefault="00992C7E" w:rsidP="00B93616">
    <w:pPr>
      <w:pStyle w:val="Footer"/>
    </w:pPr>
    <w:bookmarkStart w:id="1" w:name="OLE_LINK1"/>
    <w:bookmarkStart w:id="2" w:name="OLE_LINK2"/>
    <w:bookmarkStart w:id="3" w:name="_Hlk398489015"/>
    <w:r w:rsidRPr="00811E0B">
      <w:rPr>
        <w:rFonts w:ascii="Times New Roman" w:hAnsi="Times New Roman"/>
        <w:sz w:val="24"/>
        <w:szCs w:val="24"/>
      </w:rPr>
      <w:t>http://ej.kubagro.ru/201</w:t>
    </w:r>
    <w:r w:rsidRPr="00811E0B">
      <w:rPr>
        <w:rFonts w:ascii="Times New Roman" w:hAnsi="Times New Roman"/>
        <w:sz w:val="24"/>
        <w:szCs w:val="24"/>
        <w:lang w:val="en-US"/>
      </w:rPr>
      <w:t>6</w:t>
    </w:r>
    <w:r w:rsidRPr="00811E0B">
      <w:rPr>
        <w:rFonts w:ascii="Times New Roman" w:hAnsi="Times New Roman"/>
        <w:sz w:val="24"/>
        <w:szCs w:val="24"/>
      </w:rPr>
      <w:t>/0</w:t>
    </w:r>
    <w:r w:rsidRPr="00811E0B">
      <w:rPr>
        <w:rFonts w:ascii="Times New Roman" w:hAnsi="Times New Roman"/>
        <w:sz w:val="24"/>
        <w:szCs w:val="24"/>
        <w:lang w:val="en-US"/>
      </w:rPr>
      <w:t>8</w:t>
    </w:r>
    <w:r w:rsidRPr="00811E0B">
      <w:rPr>
        <w:rFonts w:ascii="Times New Roman" w:hAnsi="Times New Roman"/>
        <w:sz w:val="24"/>
        <w:szCs w:val="24"/>
      </w:rPr>
      <w:t>/pdf/</w:t>
    </w:r>
    <w:r>
      <w:rPr>
        <w:rFonts w:ascii="Times New Roman" w:hAnsi="Times New Roman"/>
        <w:sz w:val="24"/>
        <w:szCs w:val="24"/>
        <w:lang w:val="en-US"/>
      </w:rPr>
      <w:t>73</w:t>
    </w:r>
    <w:r w:rsidRPr="00811E0B">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C7E" w:rsidRDefault="00992C7E" w:rsidP="00250E71">
      <w:pPr>
        <w:spacing w:after="0" w:line="240" w:lineRule="auto"/>
      </w:pPr>
      <w:r>
        <w:separator/>
      </w:r>
    </w:p>
  </w:footnote>
  <w:footnote w:type="continuationSeparator" w:id="0">
    <w:p w:rsidR="00992C7E" w:rsidRDefault="00992C7E" w:rsidP="00250E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C7E" w:rsidRDefault="00992C7E" w:rsidP="00A978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2C7E" w:rsidRDefault="00992C7E" w:rsidP="00DE3D4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C7E" w:rsidRPr="00DE3D41" w:rsidRDefault="00992C7E" w:rsidP="00A9784A">
    <w:pPr>
      <w:pStyle w:val="Header"/>
      <w:framePr w:wrap="around" w:vAnchor="text" w:hAnchor="margin" w:xAlign="right" w:y="1"/>
      <w:rPr>
        <w:rStyle w:val="PageNumber"/>
        <w:rFonts w:ascii="Times New Roman" w:hAnsi="Times New Roman"/>
        <w:sz w:val="28"/>
        <w:szCs w:val="28"/>
      </w:rPr>
    </w:pPr>
    <w:r w:rsidRPr="00DE3D41">
      <w:rPr>
        <w:rStyle w:val="PageNumber"/>
        <w:rFonts w:ascii="Times New Roman" w:hAnsi="Times New Roman"/>
        <w:sz w:val="28"/>
        <w:szCs w:val="28"/>
      </w:rPr>
      <w:fldChar w:fldCharType="begin"/>
    </w:r>
    <w:r w:rsidRPr="00DE3D41">
      <w:rPr>
        <w:rStyle w:val="PageNumber"/>
        <w:rFonts w:ascii="Times New Roman" w:hAnsi="Times New Roman"/>
        <w:sz w:val="28"/>
        <w:szCs w:val="28"/>
      </w:rPr>
      <w:instrText xml:space="preserve">PAGE  </w:instrText>
    </w:r>
    <w:r w:rsidRPr="00DE3D41">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DE3D41">
      <w:rPr>
        <w:rStyle w:val="PageNumber"/>
        <w:rFonts w:ascii="Times New Roman" w:hAnsi="Times New Roman"/>
        <w:sz w:val="28"/>
        <w:szCs w:val="28"/>
      </w:rPr>
      <w:fldChar w:fldCharType="end"/>
    </w:r>
  </w:p>
  <w:p w:rsidR="00992C7E" w:rsidRDefault="00992C7E" w:rsidP="00DE3D41">
    <w:pPr>
      <w:pStyle w:val="Header"/>
      <w:ind w:right="360"/>
    </w:pPr>
    <w:r w:rsidRPr="00D34477">
      <w:rPr>
        <w:rFonts w:ascii="Times New Roman" w:hAnsi="Times New Roman"/>
        <w:sz w:val="24"/>
        <w:szCs w:val="24"/>
      </w:rPr>
      <w:t>Научный журнал КубГАУ, №1</w:t>
    </w:r>
    <w:r w:rsidRPr="00D34477">
      <w:rPr>
        <w:rFonts w:ascii="Times New Roman" w:hAnsi="Times New Roman"/>
        <w:sz w:val="24"/>
        <w:szCs w:val="24"/>
        <w:lang w:val="en-US"/>
      </w:rPr>
      <w:t>22</w:t>
    </w:r>
    <w:r w:rsidRPr="00D34477">
      <w:rPr>
        <w:rFonts w:ascii="Times New Roman" w:hAnsi="Times New Roman"/>
        <w:sz w:val="24"/>
        <w:szCs w:val="24"/>
      </w:rPr>
      <w:t>(0</w:t>
    </w:r>
    <w:r w:rsidRPr="00D34477">
      <w:rPr>
        <w:rFonts w:ascii="Times New Roman" w:hAnsi="Times New Roman"/>
        <w:sz w:val="24"/>
        <w:szCs w:val="24"/>
        <w:lang w:val="en-US"/>
      </w:rPr>
      <w:t>8</w:t>
    </w:r>
    <w:r w:rsidRPr="00D34477">
      <w:rPr>
        <w:rFonts w:ascii="Times New Roman" w:hAnsi="Times New Roman"/>
        <w:sz w:val="24"/>
        <w:szCs w:val="24"/>
      </w:rPr>
      <w:t>), 201</w:t>
    </w:r>
    <w:r w:rsidRPr="00D34477">
      <w:rPr>
        <w:rFonts w:ascii="Times New Roman" w:hAnsi="Times New Roman"/>
        <w:sz w:val="24"/>
        <w:szCs w:val="24"/>
        <w:lang w:val="en-US"/>
      </w:rPr>
      <w:t>6</w:t>
    </w:r>
    <w:r w:rsidRPr="00D34477">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92B0B"/>
    <w:multiLevelType w:val="hybridMultilevel"/>
    <w:tmpl w:val="18FCE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F2397C"/>
    <w:multiLevelType w:val="multilevel"/>
    <w:tmpl w:val="2D24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9D5E54"/>
    <w:multiLevelType w:val="hybridMultilevel"/>
    <w:tmpl w:val="12441F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CFD6ADD"/>
    <w:multiLevelType w:val="hybridMultilevel"/>
    <w:tmpl w:val="EAD82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5E531BA"/>
    <w:multiLevelType w:val="hybridMultilevel"/>
    <w:tmpl w:val="87381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68525C7"/>
    <w:multiLevelType w:val="hybridMultilevel"/>
    <w:tmpl w:val="90FCBA4A"/>
    <w:lvl w:ilvl="0" w:tplc="FD1CE728">
      <w:numFmt w:val="bullet"/>
      <w:lvlText w:val="-"/>
      <w:lvlJc w:val="left"/>
      <w:pPr>
        <w:ind w:left="927" w:hanging="360"/>
      </w:pPr>
      <w:rPr>
        <w:rFonts w:ascii="Times New Roman" w:eastAsia="Batang"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79783C38"/>
    <w:multiLevelType w:val="hybridMultilevel"/>
    <w:tmpl w:val="30301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4"/>
  </w:num>
  <w:num w:numId="4">
    <w:abstractNumId w:val="0"/>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1ED2"/>
    <w:rsid w:val="00054681"/>
    <w:rsid w:val="00084F7D"/>
    <w:rsid w:val="0009778B"/>
    <w:rsid w:val="00097EA6"/>
    <w:rsid w:val="000A0D65"/>
    <w:rsid w:val="000C65A2"/>
    <w:rsid w:val="00115B8B"/>
    <w:rsid w:val="00121DD2"/>
    <w:rsid w:val="00132FE6"/>
    <w:rsid w:val="001354DD"/>
    <w:rsid w:val="00184EA1"/>
    <w:rsid w:val="001C1183"/>
    <w:rsid w:val="001D7D6C"/>
    <w:rsid w:val="001E4478"/>
    <w:rsid w:val="00250E71"/>
    <w:rsid w:val="00304FFA"/>
    <w:rsid w:val="00316ECD"/>
    <w:rsid w:val="00331053"/>
    <w:rsid w:val="003650D6"/>
    <w:rsid w:val="003E110F"/>
    <w:rsid w:val="00431969"/>
    <w:rsid w:val="004576A2"/>
    <w:rsid w:val="00484C8B"/>
    <w:rsid w:val="004862AA"/>
    <w:rsid w:val="004919C0"/>
    <w:rsid w:val="004B6DD1"/>
    <w:rsid w:val="004C7433"/>
    <w:rsid w:val="00511ED8"/>
    <w:rsid w:val="005151CD"/>
    <w:rsid w:val="00557C80"/>
    <w:rsid w:val="00575333"/>
    <w:rsid w:val="005773BA"/>
    <w:rsid w:val="005825EE"/>
    <w:rsid w:val="005C2E73"/>
    <w:rsid w:val="00692ED6"/>
    <w:rsid w:val="006A0AB3"/>
    <w:rsid w:val="006D7731"/>
    <w:rsid w:val="0077037C"/>
    <w:rsid w:val="0080545A"/>
    <w:rsid w:val="00811E0B"/>
    <w:rsid w:val="00844C76"/>
    <w:rsid w:val="00874BBC"/>
    <w:rsid w:val="008B7A27"/>
    <w:rsid w:val="008D2A5C"/>
    <w:rsid w:val="008E388C"/>
    <w:rsid w:val="008F1697"/>
    <w:rsid w:val="00925D5F"/>
    <w:rsid w:val="00973C61"/>
    <w:rsid w:val="0097407D"/>
    <w:rsid w:val="0098568E"/>
    <w:rsid w:val="00992C7E"/>
    <w:rsid w:val="009A3079"/>
    <w:rsid w:val="009C181D"/>
    <w:rsid w:val="009C314C"/>
    <w:rsid w:val="009C75A0"/>
    <w:rsid w:val="009E4B72"/>
    <w:rsid w:val="009F290C"/>
    <w:rsid w:val="00A02556"/>
    <w:rsid w:val="00A112DB"/>
    <w:rsid w:val="00A36DC2"/>
    <w:rsid w:val="00A93F53"/>
    <w:rsid w:val="00A9784A"/>
    <w:rsid w:val="00AB2397"/>
    <w:rsid w:val="00B14B2E"/>
    <w:rsid w:val="00B86684"/>
    <w:rsid w:val="00B93616"/>
    <w:rsid w:val="00BC7848"/>
    <w:rsid w:val="00C17ACD"/>
    <w:rsid w:val="00C31ED2"/>
    <w:rsid w:val="00C93285"/>
    <w:rsid w:val="00CC2940"/>
    <w:rsid w:val="00CE70AA"/>
    <w:rsid w:val="00D34477"/>
    <w:rsid w:val="00D50224"/>
    <w:rsid w:val="00D62F21"/>
    <w:rsid w:val="00DA78BF"/>
    <w:rsid w:val="00DE10BF"/>
    <w:rsid w:val="00DE3D41"/>
    <w:rsid w:val="00E35DDB"/>
    <w:rsid w:val="00E35F2D"/>
    <w:rsid w:val="00EA04EE"/>
    <w:rsid w:val="00EA2F23"/>
    <w:rsid w:val="00EB2C71"/>
    <w:rsid w:val="00EF5180"/>
    <w:rsid w:val="00F90ADE"/>
    <w:rsid w:val="00F96686"/>
    <w:rsid w:val="00FD69B0"/>
    <w:rsid w:val="00FE22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D8"/>
    <w:pPr>
      <w:spacing w:after="200" w:line="276" w:lineRule="auto"/>
    </w:pPr>
    <w:rPr>
      <w:lang w:eastAsia="en-US"/>
    </w:rPr>
  </w:style>
  <w:style w:type="paragraph" w:styleId="Heading1">
    <w:name w:val="heading 1"/>
    <w:basedOn w:val="Normal"/>
    <w:next w:val="Normal"/>
    <w:link w:val="Heading1Char"/>
    <w:uiPriority w:val="99"/>
    <w:qFormat/>
    <w:rsid w:val="00A36DC2"/>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6DC2"/>
    <w:rPr>
      <w:rFonts w:ascii="Cambria" w:hAnsi="Cambria" w:cs="Times New Roman"/>
      <w:b/>
      <w:bCs/>
      <w:color w:val="365F91"/>
      <w:sz w:val="28"/>
      <w:szCs w:val="28"/>
    </w:rPr>
  </w:style>
  <w:style w:type="paragraph" w:styleId="NormalWeb">
    <w:name w:val="Normal (Web)"/>
    <w:basedOn w:val="Normal"/>
    <w:uiPriority w:val="99"/>
    <w:rsid w:val="00EA04EE"/>
    <w:rPr>
      <w:rFonts w:ascii="Times New Roman" w:hAnsi="Times New Roman"/>
      <w:sz w:val="24"/>
      <w:szCs w:val="24"/>
    </w:rPr>
  </w:style>
  <w:style w:type="character" w:styleId="Hyperlink">
    <w:name w:val="Hyperlink"/>
    <w:basedOn w:val="DefaultParagraphFont"/>
    <w:uiPriority w:val="99"/>
    <w:rsid w:val="00DA78BF"/>
    <w:rPr>
      <w:rFonts w:cs="Times New Roman"/>
      <w:color w:val="0000FF"/>
      <w:u w:val="single"/>
    </w:rPr>
  </w:style>
  <w:style w:type="paragraph" w:styleId="Header">
    <w:name w:val="header"/>
    <w:basedOn w:val="Normal"/>
    <w:link w:val="HeaderChar"/>
    <w:uiPriority w:val="99"/>
    <w:rsid w:val="00121DD2"/>
    <w:pPr>
      <w:tabs>
        <w:tab w:val="center" w:pos="4677"/>
        <w:tab w:val="right" w:pos="9355"/>
      </w:tabs>
    </w:pPr>
  </w:style>
  <w:style w:type="character" w:customStyle="1" w:styleId="HeaderChar">
    <w:name w:val="Header Char"/>
    <w:basedOn w:val="DefaultParagraphFont"/>
    <w:link w:val="Header"/>
    <w:uiPriority w:val="99"/>
    <w:locked/>
    <w:rsid w:val="00121DD2"/>
    <w:rPr>
      <w:rFonts w:ascii="Calibri" w:hAnsi="Calibri" w:cs="Times New Roman"/>
    </w:rPr>
  </w:style>
  <w:style w:type="paragraph" w:styleId="Footer">
    <w:name w:val="footer"/>
    <w:basedOn w:val="Normal"/>
    <w:link w:val="FooterChar"/>
    <w:uiPriority w:val="99"/>
    <w:rsid w:val="00121DD2"/>
    <w:pPr>
      <w:tabs>
        <w:tab w:val="center" w:pos="4677"/>
        <w:tab w:val="right" w:pos="9355"/>
      </w:tabs>
    </w:pPr>
  </w:style>
  <w:style w:type="character" w:customStyle="1" w:styleId="FooterChar">
    <w:name w:val="Footer Char"/>
    <w:basedOn w:val="DefaultParagraphFont"/>
    <w:link w:val="Footer"/>
    <w:uiPriority w:val="99"/>
    <w:locked/>
    <w:rsid w:val="00121DD2"/>
    <w:rPr>
      <w:rFonts w:ascii="Calibri" w:hAnsi="Calibri" w:cs="Times New Roman"/>
    </w:rPr>
  </w:style>
  <w:style w:type="paragraph" w:styleId="BalloonText">
    <w:name w:val="Balloon Text"/>
    <w:basedOn w:val="Normal"/>
    <w:link w:val="BalloonTextChar"/>
    <w:uiPriority w:val="99"/>
    <w:semiHidden/>
    <w:rsid w:val="00121D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1DD2"/>
    <w:rPr>
      <w:rFonts w:ascii="Tahoma" w:hAnsi="Tahoma" w:cs="Tahoma"/>
      <w:sz w:val="16"/>
      <w:szCs w:val="16"/>
    </w:rPr>
  </w:style>
  <w:style w:type="table" w:styleId="TableGrid">
    <w:name w:val="Table Grid"/>
    <w:basedOn w:val="TableNormal"/>
    <w:uiPriority w:val="99"/>
    <w:rsid w:val="00121DD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21DD2"/>
    <w:pPr>
      <w:ind w:left="720"/>
      <w:contextualSpacing/>
    </w:pPr>
  </w:style>
  <w:style w:type="character" w:styleId="PageNumber">
    <w:name w:val="page number"/>
    <w:basedOn w:val="DefaultParagraphFont"/>
    <w:uiPriority w:val="99"/>
    <w:rsid w:val="00DE3D41"/>
    <w:rPr>
      <w:rFonts w:cs="Times New Roman"/>
    </w:rPr>
  </w:style>
</w:styles>
</file>

<file path=word/webSettings.xml><?xml version="1.0" encoding="utf-8"?>
<w:webSettings xmlns:r="http://schemas.openxmlformats.org/officeDocument/2006/relationships" xmlns:w="http://schemas.openxmlformats.org/wordprocessingml/2006/main">
  <w:divs>
    <w:div w:id="1547259489">
      <w:marLeft w:val="0"/>
      <w:marRight w:val="0"/>
      <w:marTop w:val="0"/>
      <w:marBottom w:val="0"/>
      <w:divBdr>
        <w:top w:val="none" w:sz="0" w:space="0" w:color="auto"/>
        <w:left w:val="none" w:sz="0" w:space="0" w:color="auto"/>
        <w:bottom w:val="none" w:sz="0" w:space="0" w:color="auto"/>
        <w:right w:val="none" w:sz="0" w:space="0" w:color="auto"/>
      </w:divBdr>
    </w:div>
    <w:div w:id="1547259490">
      <w:marLeft w:val="0"/>
      <w:marRight w:val="0"/>
      <w:marTop w:val="0"/>
      <w:marBottom w:val="0"/>
      <w:divBdr>
        <w:top w:val="none" w:sz="0" w:space="0" w:color="auto"/>
        <w:left w:val="none" w:sz="0" w:space="0" w:color="auto"/>
        <w:bottom w:val="none" w:sz="0" w:space="0" w:color="auto"/>
        <w:right w:val="none" w:sz="0" w:space="0" w:color="auto"/>
      </w:divBdr>
    </w:div>
    <w:div w:id="1547259491">
      <w:marLeft w:val="0"/>
      <w:marRight w:val="0"/>
      <w:marTop w:val="0"/>
      <w:marBottom w:val="0"/>
      <w:divBdr>
        <w:top w:val="none" w:sz="0" w:space="0" w:color="auto"/>
        <w:left w:val="none" w:sz="0" w:space="0" w:color="auto"/>
        <w:bottom w:val="none" w:sz="0" w:space="0" w:color="auto"/>
        <w:right w:val="none" w:sz="0" w:space="0" w:color="auto"/>
      </w:divBdr>
    </w:div>
    <w:div w:id="1547259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S%C3%A1kra%20L%5BAuthor%5D&amp;cauthor=true&amp;cauthor_uid=22026097" TargetMode="External"/><Relationship Id="rId13" Type="http://schemas.openxmlformats.org/officeDocument/2006/relationships/hyperlink" Target="https://www.ncbi.nlm.nih.gov/pubmed/?term=S%C3%A1kra%20L%5BAuthor%5D&amp;cauthor=true&amp;cauthor_uid=22026097"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ncbi.nlm.nih.gov/pubmed/22733306" TargetMode="External"/><Relationship Id="rId12" Type="http://schemas.openxmlformats.org/officeDocument/2006/relationships/hyperlink" Target="https://www.ncbi.nlm.nih.gov/pubmed/2273330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ncbi.nlm.nih.gov/pubmed/?term=Siller%20J%5BAuthor%5D&amp;cauthor=true&amp;cauthor_uid=2202609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Siller%20J%5BAuthor%5D&amp;cauthor=true&amp;cauthor_uid=22026097" TargetMode="External"/><Relationship Id="rId5" Type="http://schemas.openxmlformats.org/officeDocument/2006/relationships/footnotes" Target="footnotes.xml"/><Relationship Id="rId15" Type="http://schemas.openxmlformats.org/officeDocument/2006/relationships/hyperlink" Target="https://www.ncbi.nlm.nih.gov/pubmed/?term=Kohoutek%20L%5BAuthor%5D&amp;cauthor=true&amp;cauthor_uid=22026097" TargetMode="External"/><Relationship Id="rId10" Type="http://schemas.openxmlformats.org/officeDocument/2006/relationships/hyperlink" Target="https://www.ncbi.nlm.nih.gov/pubmed/?term=Kohoutek%20L%5BAuthor%5D&amp;cauthor=true&amp;cauthor_uid=22026097"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ncbi.nlm.nih.gov/pubmed/?term=Lotkov%C3%A1%20H%5BAuthor%5D&amp;cauthor=true&amp;cauthor_uid=22026097" TargetMode="External"/><Relationship Id="rId14" Type="http://schemas.openxmlformats.org/officeDocument/2006/relationships/hyperlink" Target="https://www.ncbi.nlm.nih.gov/pubmed/?term=Lotkov%C3%A1%20H%5BAuthor%5D&amp;cauthor=true&amp;cauthor_uid=220260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473</TotalTime>
  <Pages>11</Pages>
  <Words>3794</Words>
  <Characters>21628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Гранкина Анастасия Олеговна</dc:creator>
  <cp:keywords/>
  <dc:description/>
  <cp:lastModifiedBy>Sergey</cp:lastModifiedBy>
  <cp:revision>35</cp:revision>
  <cp:lastPrinted>2016-10-13T08:37:00Z</cp:lastPrinted>
  <dcterms:created xsi:type="dcterms:W3CDTF">2016-10-11T09:49:00Z</dcterms:created>
  <dcterms:modified xsi:type="dcterms:W3CDTF">2016-10-30T06:29:00Z</dcterms:modified>
</cp:coreProperties>
</file>