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716"/>
        <w:gridCol w:w="4384"/>
      </w:tblGrid>
      <w:tr w:rsidR="00B455D6" w:rsidRPr="001544C8" w:rsidTr="006A618D">
        <w:trPr>
          <w:trHeight w:val="195"/>
        </w:trPr>
        <w:tc>
          <w:tcPr>
            <w:tcW w:w="2591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Pr="001544C8" w:rsidRDefault="00B455D6" w:rsidP="006A618D">
            <w:pPr>
              <w:pStyle w:val="NormalWeb"/>
              <w:snapToGrid w:val="0"/>
              <w:spacing w:before="0" w:after="0" w:line="276" w:lineRule="auto"/>
              <w:rPr>
                <w:sz w:val="20"/>
                <w:szCs w:val="20"/>
                <w:lang w:val="en-US"/>
              </w:rPr>
            </w:pPr>
            <w:r w:rsidRPr="001544C8">
              <w:rPr>
                <w:sz w:val="20"/>
                <w:szCs w:val="20"/>
              </w:rPr>
              <w:t>УДК 347</w:t>
            </w:r>
          </w:p>
        </w:tc>
        <w:tc>
          <w:tcPr>
            <w:tcW w:w="2409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Pr="001544C8" w:rsidRDefault="00B455D6" w:rsidP="006A618D">
            <w:pPr>
              <w:pStyle w:val="NormalWeb"/>
              <w:snapToGrid w:val="0"/>
              <w:spacing w:before="0" w:after="0" w:line="276" w:lineRule="auto"/>
              <w:rPr>
                <w:sz w:val="20"/>
                <w:szCs w:val="20"/>
              </w:rPr>
            </w:pPr>
            <w:r w:rsidRPr="001544C8">
              <w:rPr>
                <w:sz w:val="20"/>
                <w:szCs w:val="20"/>
              </w:rPr>
              <w:t>UDC</w:t>
            </w:r>
            <w:r w:rsidRPr="001544C8">
              <w:rPr>
                <w:sz w:val="20"/>
                <w:szCs w:val="20"/>
                <w:lang w:val="en-US"/>
              </w:rPr>
              <w:t xml:space="preserve"> </w:t>
            </w:r>
            <w:r w:rsidRPr="001544C8">
              <w:rPr>
                <w:sz w:val="20"/>
                <w:szCs w:val="20"/>
              </w:rPr>
              <w:t>347</w:t>
            </w:r>
          </w:p>
        </w:tc>
      </w:tr>
      <w:tr w:rsidR="00B455D6" w:rsidRPr="001544C8" w:rsidTr="006A618D">
        <w:trPr>
          <w:trHeight w:val="195"/>
        </w:trPr>
        <w:tc>
          <w:tcPr>
            <w:tcW w:w="2591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Pr="001544C8" w:rsidRDefault="00B455D6" w:rsidP="006A618D">
            <w:pPr>
              <w:pStyle w:val="Heading1"/>
              <w:keepNext w:val="0"/>
              <w:keepLines w:val="0"/>
              <w:numPr>
                <w:ilvl w:val="0"/>
                <w:numId w:val="1"/>
              </w:numPr>
              <w:tabs>
                <w:tab w:val="left" w:pos="0"/>
              </w:tabs>
              <w:suppressAutoHyphens/>
              <w:snapToGrid w:val="0"/>
              <w:spacing w:before="0" w:line="276" w:lineRule="auto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544C8">
              <w:rPr>
                <w:rFonts w:ascii="Times New Roman" w:hAnsi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2409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Pr="001544C8" w:rsidRDefault="00B455D6" w:rsidP="006A618D">
            <w:pPr>
              <w:pStyle w:val="Heading1"/>
              <w:keepNext w:val="0"/>
              <w:keepLines w:val="0"/>
              <w:numPr>
                <w:ilvl w:val="0"/>
                <w:numId w:val="1"/>
              </w:numPr>
              <w:tabs>
                <w:tab w:val="left" w:pos="0"/>
              </w:tabs>
              <w:suppressAutoHyphens/>
              <w:snapToGrid w:val="0"/>
              <w:spacing w:before="0" w:line="276" w:lineRule="auto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544C8">
              <w:rPr>
                <w:rFonts w:ascii="Times New Roman" w:hAnsi="Times New Roman"/>
                <w:color w:val="auto"/>
                <w:sz w:val="20"/>
                <w:szCs w:val="20"/>
              </w:rPr>
              <w:t> </w:t>
            </w:r>
          </w:p>
        </w:tc>
      </w:tr>
      <w:tr w:rsidR="00B455D6" w:rsidRPr="001544C8" w:rsidTr="006A618D">
        <w:trPr>
          <w:trHeight w:val="668"/>
        </w:trPr>
        <w:tc>
          <w:tcPr>
            <w:tcW w:w="2591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Pr="001544C8" w:rsidRDefault="00B455D6" w:rsidP="006A618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544C8">
              <w:rPr>
                <w:b/>
                <w:sz w:val="20"/>
                <w:szCs w:val="20"/>
              </w:rPr>
              <w:t>СООТНОШЕНИЕ КАТЕГОРИЙ «СИСТЕМА» И «СИСТЕМНОСТЬ» В ГРАЖДАНСКОМ ПРАВЕ: ВОПРОСЫ ФИЛОСОФИИ И МЕТОДОЛОГИИ</w:t>
            </w:r>
          </w:p>
        </w:tc>
        <w:tc>
          <w:tcPr>
            <w:tcW w:w="2409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Pr="001544C8" w:rsidRDefault="00B455D6" w:rsidP="006A618D">
            <w:pPr>
              <w:pStyle w:val="NormalWeb"/>
              <w:snapToGrid w:val="0"/>
              <w:spacing w:before="0" w:after="0" w:line="276" w:lineRule="auto"/>
              <w:rPr>
                <w:rFonts w:eastAsia="MS Minngs"/>
                <w:b/>
                <w:sz w:val="20"/>
                <w:szCs w:val="20"/>
                <w:lang w:val="en-US" w:eastAsia="ru-RU"/>
              </w:rPr>
            </w:pPr>
            <w:r w:rsidRPr="001544C8">
              <w:rPr>
                <w:b/>
                <w:sz w:val="20"/>
                <w:szCs w:val="20"/>
                <w:lang w:val="en-US"/>
              </w:rPr>
              <w:t xml:space="preserve">CORRELATION OF CATEGORIES </w:t>
            </w:r>
            <w:r>
              <w:rPr>
                <w:b/>
                <w:sz w:val="20"/>
                <w:szCs w:val="20"/>
                <w:lang w:val="en-US"/>
              </w:rPr>
              <w:t>OF “</w:t>
            </w:r>
            <w:r w:rsidRPr="001544C8">
              <w:rPr>
                <w:b/>
                <w:sz w:val="20"/>
                <w:szCs w:val="20"/>
                <w:lang w:val="en-US"/>
              </w:rPr>
              <w:t>SYSTEM</w:t>
            </w:r>
            <w:r>
              <w:rPr>
                <w:b/>
                <w:sz w:val="20"/>
                <w:szCs w:val="20"/>
                <w:lang w:val="en-US"/>
              </w:rPr>
              <w:t>”</w:t>
            </w:r>
            <w:r w:rsidRPr="001544C8">
              <w:rPr>
                <w:b/>
                <w:sz w:val="20"/>
                <w:szCs w:val="20"/>
                <w:lang w:val="en-US"/>
              </w:rPr>
              <w:t xml:space="preserve"> AND </w:t>
            </w:r>
            <w:r>
              <w:rPr>
                <w:b/>
                <w:sz w:val="20"/>
                <w:szCs w:val="20"/>
                <w:lang w:val="en-US"/>
              </w:rPr>
              <w:t>“</w:t>
            </w:r>
            <w:r w:rsidRPr="001544C8">
              <w:rPr>
                <w:b/>
                <w:sz w:val="20"/>
                <w:szCs w:val="20"/>
                <w:lang w:val="en-US"/>
              </w:rPr>
              <w:t>SYSTEMATICITY</w:t>
            </w:r>
            <w:r>
              <w:rPr>
                <w:b/>
                <w:sz w:val="20"/>
                <w:szCs w:val="20"/>
                <w:lang w:val="en-US"/>
              </w:rPr>
              <w:t>”</w:t>
            </w:r>
            <w:r w:rsidRPr="001544C8">
              <w:rPr>
                <w:b/>
                <w:sz w:val="20"/>
                <w:szCs w:val="20"/>
                <w:lang w:val="en-US"/>
              </w:rPr>
              <w:t xml:space="preserve"> IN THE CIVIL LAW: </w:t>
            </w:r>
            <w:r w:rsidRPr="001544C8">
              <w:rPr>
                <w:b/>
                <w:sz w:val="20"/>
                <w:szCs w:val="28"/>
                <w:lang w:val="en-US"/>
              </w:rPr>
              <w:t>P</w:t>
            </w:r>
            <w:r w:rsidRPr="001544C8">
              <w:rPr>
                <w:b/>
                <w:sz w:val="20"/>
                <w:szCs w:val="20"/>
                <w:lang w:val="en-US"/>
              </w:rPr>
              <w:t>HILOSOPHICAL AND METHODOLOGICAL BASES</w:t>
            </w:r>
          </w:p>
        </w:tc>
      </w:tr>
      <w:tr w:rsidR="00B455D6" w:rsidRPr="001544C8" w:rsidTr="00CB0A65">
        <w:trPr>
          <w:trHeight w:val="278"/>
        </w:trPr>
        <w:tc>
          <w:tcPr>
            <w:tcW w:w="2591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Pr="001544C8" w:rsidRDefault="00B455D6" w:rsidP="006A618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409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Pr="001544C8" w:rsidRDefault="00B455D6" w:rsidP="006A618D">
            <w:pPr>
              <w:pStyle w:val="NormalWeb"/>
              <w:snapToGrid w:val="0"/>
              <w:spacing w:before="0" w:after="0" w:line="276" w:lineRule="auto"/>
              <w:rPr>
                <w:b/>
                <w:sz w:val="20"/>
                <w:szCs w:val="20"/>
                <w:lang w:val="en-US"/>
              </w:rPr>
            </w:pPr>
          </w:p>
        </w:tc>
      </w:tr>
      <w:tr w:rsidR="00B455D6" w:rsidRPr="001544C8" w:rsidTr="006A618D">
        <w:trPr>
          <w:trHeight w:val="401"/>
        </w:trPr>
        <w:tc>
          <w:tcPr>
            <w:tcW w:w="2591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Default="00B455D6" w:rsidP="006A618D">
            <w:pPr>
              <w:pStyle w:val="NormalWeb"/>
              <w:snapToGrid w:val="0"/>
              <w:spacing w:before="0" w:after="0" w:line="276" w:lineRule="auto"/>
              <w:rPr>
                <w:sz w:val="20"/>
                <w:szCs w:val="20"/>
                <w:lang w:val="en-US"/>
              </w:rPr>
            </w:pPr>
            <w:r w:rsidRPr="001544C8">
              <w:rPr>
                <w:sz w:val="20"/>
                <w:szCs w:val="20"/>
              </w:rPr>
              <w:t>Диденко Ася Алексеевна</w:t>
            </w:r>
          </w:p>
          <w:p w:rsidR="00B455D6" w:rsidRPr="001544C8" w:rsidRDefault="00B455D6" w:rsidP="006A618D">
            <w:pPr>
              <w:pStyle w:val="NormalWeb"/>
              <w:snapToGrid w:val="0"/>
              <w:spacing w:before="0" w:after="0" w:line="276" w:lineRule="auto"/>
              <w:rPr>
                <w:sz w:val="20"/>
                <w:szCs w:val="20"/>
              </w:rPr>
            </w:pPr>
            <w:r w:rsidRPr="001544C8">
              <w:rPr>
                <w:sz w:val="20"/>
                <w:szCs w:val="20"/>
              </w:rPr>
              <w:t xml:space="preserve">к.ю.н., доцент </w:t>
            </w:r>
          </w:p>
        </w:tc>
        <w:tc>
          <w:tcPr>
            <w:tcW w:w="2409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Default="00B455D6" w:rsidP="006A618D">
            <w:pPr>
              <w:pStyle w:val="NormalWeb"/>
              <w:snapToGrid w:val="0"/>
              <w:spacing w:before="0" w:after="0" w:line="276" w:lineRule="auto"/>
              <w:rPr>
                <w:sz w:val="20"/>
                <w:szCs w:val="20"/>
                <w:lang w:val="en-US"/>
              </w:rPr>
            </w:pPr>
            <w:r w:rsidRPr="001544C8">
              <w:rPr>
                <w:sz w:val="20"/>
                <w:szCs w:val="20"/>
                <w:lang w:val="en-US"/>
              </w:rPr>
              <w:t>Didenko Asya Alekseevna</w:t>
            </w:r>
          </w:p>
          <w:p w:rsidR="00B455D6" w:rsidRPr="001544C8" w:rsidRDefault="00B455D6" w:rsidP="006A618D">
            <w:pPr>
              <w:pStyle w:val="NormalWeb"/>
              <w:snapToGrid w:val="0"/>
              <w:spacing w:before="0" w:after="0" w:line="276" w:lineRule="auto"/>
              <w:rPr>
                <w:sz w:val="20"/>
                <w:szCs w:val="20"/>
                <w:lang w:val="en-US"/>
              </w:rPr>
            </w:pPr>
            <w:r w:rsidRPr="001544C8">
              <w:rPr>
                <w:sz w:val="20"/>
                <w:szCs w:val="20"/>
                <w:lang w:val="en-US" w:eastAsia="en-US"/>
              </w:rPr>
              <w:t>Cand.L</w:t>
            </w:r>
            <w:r>
              <w:rPr>
                <w:sz w:val="20"/>
                <w:szCs w:val="20"/>
                <w:lang w:val="en-US" w:eastAsia="en-US"/>
              </w:rPr>
              <w:t>eg</w:t>
            </w:r>
            <w:r w:rsidRPr="001544C8">
              <w:rPr>
                <w:sz w:val="20"/>
                <w:szCs w:val="20"/>
                <w:lang w:val="en-US" w:eastAsia="en-US"/>
              </w:rPr>
              <w:t>.Sci</w:t>
            </w:r>
            <w:r>
              <w:rPr>
                <w:sz w:val="20"/>
                <w:szCs w:val="20"/>
                <w:lang w:val="en-US" w:eastAsia="en-US"/>
              </w:rPr>
              <w:t>.</w:t>
            </w:r>
            <w:r w:rsidRPr="001544C8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associate professor</w:t>
            </w:r>
            <w:r w:rsidRPr="001544C8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B455D6" w:rsidRPr="001544C8" w:rsidTr="006A618D">
        <w:trPr>
          <w:trHeight w:val="401"/>
        </w:trPr>
        <w:tc>
          <w:tcPr>
            <w:tcW w:w="2591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Pr="0018681C" w:rsidRDefault="00B455D6" w:rsidP="006A618D">
            <w:pPr>
              <w:pStyle w:val="NormalWeb"/>
              <w:snapToGrid w:val="0"/>
              <w:spacing w:before="0" w:after="0" w:line="276" w:lineRule="auto"/>
              <w:rPr>
                <w:i/>
                <w:iCs/>
                <w:sz w:val="20"/>
                <w:szCs w:val="20"/>
                <w:lang w:val="en-US"/>
              </w:rPr>
            </w:pPr>
            <w:r w:rsidRPr="001544C8">
              <w:rPr>
                <w:i/>
                <w:iCs/>
                <w:sz w:val="20"/>
                <w:szCs w:val="20"/>
              </w:rPr>
              <w:t>Кубанский</w:t>
            </w:r>
            <w:r w:rsidRPr="0018681C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1544C8">
              <w:rPr>
                <w:i/>
                <w:iCs/>
                <w:sz w:val="20"/>
                <w:szCs w:val="20"/>
              </w:rPr>
              <w:t>государственный</w:t>
            </w:r>
            <w:r w:rsidRPr="0018681C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1544C8">
              <w:rPr>
                <w:i/>
                <w:iCs/>
                <w:sz w:val="20"/>
                <w:szCs w:val="20"/>
              </w:rPr>
              <w:t>аграрный</w:t>
            </w:r>
            <w:r w:rsidRPr="0018681C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1544C8">
              <w:rPr>
                <w:i/>
                <w:iCs/>
                <w:sz w:val="20"/>
                <w:szCs w:val="20"/>
              </w:rPr>
              <w:t>университет</w:t>
            </w:r>
            <w:r w:rsidRPr="0018681C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1544C8">
              <w:rPr>
                <w:i/>
                <w:iCs/>
                <w:sz w:val="20"/>
                <w:szCs w:val="20"/>
              </w:rPr>
              <w:t>Краснодар</w:t>
            </w:r>
            <w:r w:rsidRPr="0018681C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1544C8">
              <w:rPr>
                <w:i/>
                <w:iCs/>
                <w:sz w:val="20"/>
                <w:szCs w:val="20"/>
              </w:rPr>
              <w:t>Россия</w:t>
            </w:r>
          </w:p>
        </w:tc>
        <w:tc>
          <w:tcPr>
            <w:tcW w:w="2409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Pr="001544C8" w:rsidRDefault="00B455D6" w:rsidP="006A618D">
            <w:pPr>
              <w:pStyle w:val="NormalWeb"/>
              <w:snapToGrid w:val="0"/>
              <w:spacing w:before="0" w:after="0" w:line="276" w:lineRule="auto"/>
              <w:rPr>
                <w:i/>
                <w:iCs/>
                <w:sz w:val="20"/>
                <w:szCs w:val="20"/>
                <w:lang w:val="en-US"/>
              </w:rPr>
            </w:pPr>
            <w:r w:rsidRPr="001544C8">
              <w:rPr>
                <w:i/>
                <w:iCs/>
                <w:sz w:val="20"/>
                <w:szCs w:val="20"/>
                <w:lang w:val="en-US"/>
              </w:rPr>
              <w:t xml:space="preserve">Kuban State Agrarian University, </w:t>
            </w:r>
          </w:p>
          <w:p w:rsidR="00B455D6" w:rsidRPr="001544C8" w:rsidRDefault="00B455D6" w:rsidP="006A618D">
            <w:pPr>
              <w:pStyle w:val="NormalWeb"/>
              <w:snapToGrid w:val="0"/>
              <w:spacing w:before="0" w:after="0" w:line="276" w:lineRule="auto"/>
              <w:rPr>
                <w:i/>
                <w:iCs/>
                <w:sz w:val="20"/>
                <w:szCs w:val="20"/>
                <w:lang w:val="en-US"/>
              </w:rPr>
            </w:pPr>
            <w:r w:rsidRPr="001544C8">
              <w:rPr>
                <w:i/>
                <w:iCs/>
                <w:sz w:val="20"/>
                <w:szCs w:val="20"/>
                <w:lang w:val="en-US" w:eastAsia="en-US"/>
              </w:rPr>
              <w:t>Krasnodar, Russia</w:t>
            </w:r>
          </w:p>
        </w:tc>
      </w:tr>
      <w:tr w:rsidR="00B455D6" w:rsidRPr="001544C8" w:rsidTr="006A618D">
        <w:trPr>
          <w:trHeight w:val="56"/>
        </w:trPr>
        <w:tc>
          <w:tcPr>
            <w:tcW w:w="2591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Pr="001544C8" w:rsidRDefault="00B455D6" w:rsidP="006A618D">
            <w:pPr>
              <w:pStyle w:val="NormalWeb"/>
              <w:snapToGrid w:val="0"/>
              <w:spacing w:before="0" w:after="0" w:line="276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409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Pr="001544C8" w:rsidRDefault="00B455D6" w:rsidP="006A618D">
            <w:pPr>
              <w:pStyle w:val="NormalWeb"/>
              <w:snapToGrid w:val="0"/>
              <w:spacing w:before="0" w:after="0" w:line="276" w:lineRule="auto"/>
              <w:rPr>
                <w:sz w:val="20"/>
                <w:szCs w:val="20"/>
                <w:lang w:val="en-US"/>
              </w:rPr>
            </w:pPr>
          </w:p>
        </w:tc>
      </w:tr>
      <w:tr w:rsidR="00B455D6" w:rsidRPr="001544C8" w:rsidTr="006A618D">
        <w:trPr>
          <w:trHeight w:val="1546"/>
        </w:trPr>
        <w:tc>
          <w:tcPr>
            <w:tcW w:w="2591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Pr="0018681C" w:rsidRDefault="00B455D6" w:rsidP="006A618D">
            <w:pPr>
              <w:pStyle w:val="ConsPlusNormal"/>
              <w:rPr>
                <w:rFonts w:ascii="Times New Roman" w:hAnsi="Times New Roman" w:cs="Times New Roman"/>
              </w:rPr>
            </w:pPr>
            <w:r w:rsidRPr="001544C8">
              <w:rPr>
                <w:rFonts w:ascii="Times New Roman" w:hAnsi="Times New Roman" w:cs="Times New Roman"/>
                <w:szCs w:val="28"/>
              </w:rPr>
              <w:t>В</w:t>
            </w:r>
            <w:r w:rsidRPr="0018681C">
              <w:rPr>
                <w:rFonts w:ascii="Times New Roman" w:hAnsi="Times New Roman" w:cs="Times New Roman"/>
                <w:szCs w:val="28"/>
                <w:lang w:val="en-US"/>
              </w:rPr>
              <w:t xml:space="preserve"> </w:t>
            </w:r>
            <w:r w:rsidRPr="001544C8">
              <w:rPr>
                <w:rFonts w:ascii="Times New Roman" w:hAnsi="Times New Roman" w:cs="Times New Roman"/>
                <w:szCs w:val="28"/>
              </w:rPr>
              <w:t>данной статье автор на высоком теоретическом уровне старается осмыслить весьма сложные, многоаспектные проявления системности в гражданском праве с одновременным привлечением интересных материалов правоприменительной практики, что позволяет отметить ее практическую направленность на совершенствование гражданского законодательства в целом</w:t>
            </w:r>
          </w:p>
        </w:tc>
        <w:tc>
          <w:tcPr>
            <w:tcW w:w="2409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Pr="001544C8" w:rsidRDefault="00B455D6" w:rsidP="006A618D">
            <w:pPr>
              <w:autoSpaceDE w:val="0"/>
              <w:autoSpaceDN w:val="0"/>
              <w:adjustRightInd w:val="0"/>
              <w:rPr>
                <w:sz w:val="20"/>
                <w:szCs w:val="28"/>
                <w:lang w:val="en-US"/>
              </w:rPr>
            </w:pPr>
            <w:r w:rsidRPr="001544C8">
              <w:rPr>
                <w:sz w:val="20"/>
                <w:szCs w:val="28"/>
                <w:lang w:val="en-US"/>
              </w:rPr>
              <w:t xml:space="preserve">In this article the author tries to evaluate from the theoretical standpoint a number of complex multi-aspect reflections of systematicity of civil law, and at the same time to introduce some interesting practical material, which allows noting its practical value for the improvement </w:t>
            </w:r>
            <w:r>
              <w:rPr>
                <w:sz w:val="20"/>
                <w:szCs w:val="28"/>
                <w:lang w:val="en-US"/>
              </w:rPr>
              <w:t>of civil legislation as a whole</w:t>
            </w:r>
          </w:p>
          <w:p w:rsidR="00B455D6" w:rsidRPr="001544C8" w:rsidRDefault="00B455D6" w:rsidP="006A618D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455D6" w:rsidRPr="001544C8" w:rsidTr="009D5029">
        <w:trPr>
          <w:trHeight w:val="228"/>
        </w:trPr>
        <w:tc>
          <w:tcPr>
            <w:tcW w:w="2591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Pr="001544C8" w:rsidRDefault="00B455D6" w:rsidP="006A618D">
            <w:pPr>
              <w:pStyle w:val="ConsPlusNormal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2409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Pr="001544C8" w:rsidRDefault="00B455D6" w:rsidP="006A618D">
            <w:pPr>
              <w:autoSpaceDE w:val="0"/>
              <w:autoSpaceDN w:val="0"/>
              <w:adjustRightInd w:val="0"/>
              <w:rPr>
                <w:sz w:val="20"/>
                <w:szCs w:val="28"/>
                <w:lang w:val="en-US"/>
              </w:rPr>
            </w:pPr>
          </w:p>
        </w:tc>
      </w:tr>
      <w:tr w:rsidR="00B455D6" w:rsidRPr="0018681C" w:rsidTr="009D5029">
        <w:trPr>
          <w:trHeight w:val="1054"/>
        </w:trPr>
        <w:tc>
          <w:tcPr>
            <w:tcW w:w="2591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Pr="0018681C" w:rsidRDefault="00B455D6" w:rsidP="0018681C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en-US"/>
              </w:rPr>
            </w:pPr>
            <w:r w:rsidRPr="0018681C">
              <w:rPr>
                <w:sz w:val="20"/>
                <w:szCs w:val="20"/>
                <w:lang w:eastAsia="en-US"/>
              </w:rPr>
              <w:t>Ключевые слова: ЮРИСПРУДЕНЦИЯ, СИСТЕМА, ГРАЖДАНСКОЕ ПРАВО, ПОДХОД, МЕТОД, ЗАКОНОДАТЕЛЬСТВО, СИСТЕМНОСТЬ, СИСТЕМНЫЙ АНАЛИЗ, СИСТЕМА ПРАВА</w:t>
            </w:r>
          </w:p>
        </w:tc>
        <w:tc>
          <w:tcPr>
            <w:tcW w:w="2409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455D6" w:rsidRPr="0018681C" w:rsidRDefault="00B455D6" w:rsidP="006A618D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en-US" w:eastAsia="en-US"/>
              </w:rPr>
            </w:pPr>
            <w:r>
              <w:rPr>
                <w:rFonts w:eastAsia="Times New Roman"/>
                <w:sz w:val="20"/>
                <w:szCs w:val="20"/>
                <w:lang w:val="en-US" w:eastAsia="en-US"/>
              </w:rPr>
              <w:t>Key</w:t>
            </w:r>
            <w:r w:rsidRPr="0018681C">
              <w:rPr>
                <w:rFonts w:eastAsia="Times New Roman"/>
                <w:sz w:val="20"/>
                <w:szCs w:val="20"/>
                <w:lang w:val="en-US" w:eastAsia="en-US"/>
              </w:rPr>
              <w:t xml:space="preserve">words: </w:t>
            </w:r>
            <w:r w:rsidRPr="0018681C">
              <w:rPr>
                <w:sz w:val="20"/>
                <w:szCs w:val="20"/>
                <w:lang w:val="en-US"/>
              </w:rPr>
              <w:t>JURISPRUDENCE, SYSTEM, CIVIL LAW, APPROACH, METHOD, LEGISLATION, SYSTEMATICITY, SYSTEMIC ANALYSIS, SYSTEM OF LAW</w:t>
            </w:r>
          </w:p>
        </w:tc>
      </w:tr>
    </w:tbl>
    <w:p w:rsidR="00B455D6" w:rsidRPr="009B5296" w:rsidRDefault="00B455D6" w:rsidP="00884458">
      <w:pPr>
        <w:autoSpaceDE w:val="0"/>
        <w:autoSpaceDN w:val="0"/>
        <w:adjustRightInd w:val="0"/>
        <w:ind w:firstLine="540"/>
        <w:jc w:val="both"/>
        <w:rPr>
          <w:rFonts w:eastAsia="Times New Roman"/>
          <w:sz w:val="28"/>
          <w:szCs w:val="28"/>
          <w:lang w:val="en-US" w:eastAsia="en-US"/>
        </w:rPr>
      </w:pPr>
    </w:p>
    <w:p w:rsidR="00B455D6" w:rsidRDefault="00B455D6" w:rsidP="00350280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en-US" w:eastAsia="en-US"/>
        </w:rPr>
      </w:pPr>
    </w:p>
    <w:p w:rsidR="00B455D6" w:rsidRPr="005C4405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C4405">
        <w:rPr>
          <w:rFonts w:eastAsia="Times New Roman"/>
          <w:sz w:val="28"/>
          <w:szCs w:val="28"/>
        </w:rPr>
        <w:t>Высокая степень интегрированности с другими гуманитарными науками является ведущей тенденцией развития современной цивилистической науки. В частности</w:t>
      </w:r>
      <w:r>
        <w:rPr>
          <w:rFonts w:eastAsia="Times New Roman"/>
          <w:sz w:val="28"/>
          <w:szCs w:val="28"/>
        </w:rPr>
        <w:t>,</w:t>
      </w:r>
      <w:r w:rsidRPr="005C4405">
        <w:rPr>
          <w:rFonts w:eastAsia="Times New Roman"/>
          <w:sz w:val="28"/>
          <w:szCs w:val="28"/>
        </w:rPr>
        <w:t xml:space="preserve"> в настоящее время все отчетливее наблюдается тенденция распространения результатов и методов исследования других отраслей научных знаний в качестве необходимого элемента развития науки гражданского права. Привлечение исследовательских средств других наук является вполне оправданным, поскольку способствует отражению современных тенденций развития научного знания в целом. </w:t>
      </w:r>
    </w:p>
    <w:p w:rsidR="00B455D6" w:rsidRPr="005C4405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>В этой связи трудно переоценить значение проблемы методологии и методов, применяемых в любом научном исследовании, а равно и в юридическом анализе прикладной ситуации на практике. Полагаем, что методы конкретного прикладного гражданского исследования целесообразно определить с помощью критериев, лежащих в основе понятий общенаучной и юридической методологии, что также будет весьма полезным при изучении проблемы внутриотраслевых (внутрисистемных) связей гражданского права.</w:t>
      </w:r>
    </w:p>
    <w:p w:rsidR="00B455D6" w:rsidRPr="005C4405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>История разработки методологической проблематики начинается с древнегреческой философии. Особое внимание ему уделяется в работах Дж. Локка, Д. Юма, И. Канта, Г. Гегеля и К. Маркса. Труды О. Конта, Г. Спенсера, Э. Дюркгейма</w:t>
      </w:r>
      <w:r>
        <w:rPr>
          <w:rFonts w:eastAsia="Times New Roman"/>
          <w:sz w:val="28"/>
          <w:szCs w:val="28"/>
          <w:lang w:eastAsia="en-US"/>
        </w:rPr>
        <w:t>,</w:t>
      </w:r>
      <w:r w:rsidRPr="005C4405">
        <w:rPr>
          <w:rFonts w:eastAsia="Times New Roman"/>
          <w:sz w:val="28"/>
          <w:szCs w:val="28"/>
          <w:lang w:eastAsia="en-US"/>
        </w:rPr>
        <w:t xml:space="preserve"> посвящен</w:t>
      </w:r>
      <w:r>
        <w:rPr>
          <w:rFonts w:eastAsia="Times New Roman"/>
          <w:sz w:val="28"/>
          <w:szCs w:val="28"/>
          <w:lang w:eastAsia="en-US"/>
        </w:rPr>
        <w:t>ных</w:t>
      </w:r>
      <w:r w:rsidRPr="005C4405">
        <w:rPr>
          <w:rFonts w:eastAsia="Times New Roman"/>
          <w:sz w:val="28"/>
          <w:szCs w:val="28"/>
          <w:lang w:eastAsia="en-US"/>
        </w:rPr>
        <w:t xml:space="preserve"> разработке не только общих принципов теоретического знания, но и отдельных методов научной деятельности. В современной философии методологические исследования также получили широкое распространение. </w:t>
      </w:r>
    </w:p>
    <w:p w:rsidR="00B455D6" w:rsidRPr="005C4405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>Тем не менее</w:t>
      </w:r>
      <w:r>
        <w:rPr>
          <w:rFonts w:eastAsia="Times New Roman"/>
          <w:sz w:val="28"/>
          <w:szCs w:val="28"/>
          <w:lang w:eastAsia="en-US"/>
        </w:rPr>
        <w:t>,</w:t>
      </w:r>
      <w:r w:rsidRPr="005C4405">
        <w:rPr>
          <w:rFonts w:eastAsia="Times New Roman"/>
          <w:sz w:val="28"/>
          <w:szCs w:val="28"/>
          <w:lang w:eastAsia="en-US"/>
        </w:rPr>
        <w:t xml:space="preserve"> само понятие «методология» в науке философии не является однозначным. Классическим принято считать определение одного из основоположников отечественной теории методологии Э.Г. Юдина, который рассматривал ее в качестве учения о структуре, логической организации, способах и средствах деятельности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BC517B">
        <w:rPr>
          <w:rFonts w:eastAsia="Times New Roman"/>
          <w:sz w:val="28"/>
          <w:szCs w:val="28"/>
          <w:lang w:eastAsia="en-US"/>
        </w:rPr>
        <w:t>[1]</w:t>
      </w:r>
      <w:r w:rsidRPr="005C4405">
        <w:rPr>
          <w:rFonts w:eastAsia="Times New Roman"/>
          <w:sz w:val="28"/>
          <w:szCs w:val="28"/>
          <w:lang w:eastAsia="en-US"/>
        </w:rPr>
        <w:t xml:space="preserve">. В то же время имеет место дискуссия относительно сущности этой категории как в философии, так и в отраслевых науках. </w:t>
      </w:r>
    </w:p>
    <w:p w:rsidR="00B455D6" w:rsidRPr="005C4405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>Например, социолог Т. Парсонс называет совокупность некоторых методов эмпирического анализа техникой исследования, а под методологией он понимает общие основания достоверности научных положений</w:t>
      </w:r>
      <w:r w:rsidRPr="00BC517B">
        <w:rPr>
          <w:rFonts w:eastAsia="Times New Roman"/>
          <w:sz w:val="28"/>
          <w:szCs w:val="28"/>
          <w:lang w:eastAsia="en-US"/>
        </w:rPr>
        <w:t xml:space="preserve"> [2]</w:t>
      </w:r>
      <w:r w:rsidRPr="005C4405">
        <w:rPr>
          <w:rFonts w:eastAsia="Times New Roman"/>
          <w:sz w:val="28"/>
          <w:szCs w:val="28"/>
          <w:lang w:eastAsia="en-US"/>
        </w:rPr>
        <w:t>. Другие авторы рассматривают методологию либо как систему принципов и способов организации и построения теоретической и практической деятельности</w:t>
      </w:r>
      <w:r w:rsidRPr="00BC517B">
        <w:rPr>
          <w:rFonts w:eastAsia="Times New Roman"/>
          <w:sz w:val="28"/>
          <w:szCs w:val="28"/>
          <w:lang w:eastAsia="en-US"/>
        </w:rPr>
        <w:t xml:space="preserve"> [3]</w:t>
      </w:r>
      <w:r w:rsidRPr="005C4405">
        <w:rPr>
          <w:rFonts w:eastAsia="Times New Roman"/>
          <w:sz w:val="28"/>
          <w:szCs w:val="28"/>
          <w:lang w:eastAsia="en-US"/>
        </w:rPr>
        <w:t>, либо как совокупность подходов, принципов, приемов, процедур, которые задаются профессиональным сообществом и призваны определять направление и цели творческого поиска</w:t>
      </w:r>
      <w:r w:rsidRPr="00BC517B">
        <w:rPr>
          <w:rFonts w:eastAsia="Times New Roman"/>
          <w:sz w:val="28"/>
          <w:szCs w:val="28"/>
          <w:lang w:eastAsia="en-US"/>
        </w:rPr>
        <w:t xml:space="preserve"> [4]</w:t>
      </w:r>
      <w:r w:rsidRPr="005C4405">
        <w:rPr>
          <w:rFonts w:eastAsia="Times New Roman"/>
          <w:sz w:val="28"/>
          <w:szCs w:val="28"/>
          <w:lang w:eastAsia="en-US"/>
        </w:rPr>
        <w:t>. Методология представляет собой самосознание науки, определение путей и методов эффективного решения той или иной задачи</w:t>
      </w:r>
      <w:r w:rsidRPr="00BC517B">
        <w:rPr>
          <w:rFonts w:eastAsia="Times New Roman"/>
          <w:sz w:val="28"/>
          <w:szCs w:val="28"/>
          <w:lang w:eastAsia="en-US"/>
        </w:rPr>
        <w:t xml:space="preserve"> [5]</w:t>
      </w:r>
      <w:r w:rsidRPr="005C4405">
        <w:rPr>
          <w:rFonts w:eastAsia="Times New Roman"/>
          <w:sz w:val="28"/>
          <w:szCs w:val="28"/>
          <w:lang w:eastAsia="en-US"/>
        </w:rPr>
        <w:t>. Другие авторы выделяют в методологии три составляющие: во-первых, общий философский подход, способ познания, применяемый исследователем; во-вторых, совокупность методологических принципов; в-третьих, совокупность конкретных приемов и методов исследования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BC517B">
        <w:rPr>
          <w:rFonts w:eastAsia="Times New Roman"/>
          <w:sz w:val="28"/>
          <w:szCs w:val="28"/>
          <w:lang w:eastAsia="en-US"/>
        </w:rPr>
        <w:t>[6]</w:t>
      </w:r>
      <w:r w:rsidRPr="005C4405">
        <w:rPr>
          <w:rFonts w:eastAsia="Times New Roman"/>
          <w:sz w:val="28"/>
          <w:szCs w:val="28"/>
          <w:lang w:eastAsia="en-US"/>
        </w:rPr>
        <w:t>.</w:t>
      </w:r>
    </w:p>
    <w:p w:rsidR="00B455D6" w:rsidRPr="005C4405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>Э.Г. Юдин предложил выделять четыре группы методов: а) общие принципы познания, которые представляют собой систему предпосылок и ориентиров познавательной деятельности; б) общенаучные принципы и формы исследования; в) конкретно-научные способы; г) методика и техника исследования</w:t>
      </w:r>
      <w:r w:rsidRPr="00BC517B">
        <w:rPr>
          <w:rFonts w:eastAsia="Times New Roman"/>
          <w:sz w:val="28"/>
          <w:szCs w:val="28"/>
          <w:lang w:eastAsia="en-US"/>
        </w:rPr>
        <w:t xml:space="preserve"> [</w:t>
      </w:r>
      <w:r>
        <w:rPr>
          <w:rFonts w:eastAsia="Times New Roman"/>
          <w:sz w:val="28"/>
          <w:szCs w:val="28"/>
          <w:lang w:eastAsia="en-US"/>
        </w:rPr>
        <w:t>1</w:t>
      </w:r>
      <w:r w:rsidRPr="00BC517B">
        <w:rPr>
          <w:rFonts w:eastAsia="Times New Roman"/>
          <w:sz w:val="28"/>
          <w:szCs w:val="28"/>
          <w:lang w:eastAsia="en-US"/>
        </w:rPr>
        <w:t>]</w:t>
      </w:r>
      <w:r w:rsidRPr="005C4405">
        <w:rPr>
          <w:rFonts w:eastAsia="Times New Roman"/>
          <w:sz w:val="28"/>
          <w:szCs w:val="28"/>
          <w:lang w:eastAsia="en-US"/>
        </w:rPr>
        <w:t>. Другие авторы предлагают разделять методы исключительно на общие и специальные</w:t>
      </w:r>
      <w:r w:rsidRPr="00BC517B">
        <w:rPr>
          <w:rFonts w:eastAsia="Times New Roman"/>
          <w:sz w:val="28"/>
          <w:szCs w:val="28"/>
          <w:lang w:eastAsia="en-US"/>
        </w:rPr>
        <w:t xml:space="preserve"> [</w:t>
      </w:r>
      <w:r>
        <w:rPr>
          <w:rFonts w:eastAsia="Times New Roman"/>
          <w:sz w:val="28"/>
          <w:szCs w:val="28"/>
          <w:lang w:eastAsia="en-US"/>
        </w:rPr>
        <w:t>7</w:t>
      </w:r>
      <w:r w:rsidRPr="00BC517B">
        <w:rPr>
          <w:rFonts w:eastAsia="Times New Roman"/>
          <w:sz w:val="28"/>
          <w:szCs w:val="28"/>
          <w:lang w:eastAsia="en-US"/>
        </w:rPr>
        <w:t>]</w:t>
      </w:r>
      <w:r w:rsidRPr="005C4405">
        <w:rPr>
          <w:rFonts w:eastAsia="Times New Roman"/>
          <w:sz w:val="28"/>
          <w:szCs w:val="28"/>
          <w:lang w:eastAsia="en-US"/>
        </w:rPr>
        <w:t>.</w:t>
      </w:r>
    </w:p>
    <w:p w:rsidR="00B455D6" w:rsidRPr="005C4405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>Юридическая методология является одним из видов конкретно-научных способов. Следует иметь в виду, что методы исследования гражданского права могут использоваться только в сочетании с другими средствами научного исследования. Методологические аспекты гражданского права исследовались в отечественной науке еще дореволюционными авторами. Данный вопрос рассматривается в произведениях Е.В. Васьковского, Б.А. Кистяковского, Е.Н. Трубецкого, Г.Ф. Шершеневича и других ученых.</w:t>
      </w:r>
    </w:p>
    <w:p w:rsidR="00B455D6" w:rsidRPr="005C4405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>В советский период развития отечественного права эта проблема освещалась в работах С.И. Аскназия, А.Я. Вышинского, Н.В. Крыленко, Е.Б. Пашуканиса, А.А. Пионтковского, М.С. Строговича и П.И. Стучки. В те годы основой методологии правового исследования являлось учение К. Маркса и Ф. Энгельса. Как отмечал А.Я. Вышинский, «правильное толкование законов, как и других явлений, невозможно без применения единственно правильной методологии, какой является марксистско-ленинская методология, и что именно эта единственно правильная, подлинно научная методология является ключом к обоснованию правильной научной теории, ключом к тому, чтобы получить правильные выводы при исследовании того или иного вопроса»</w:t>
      </w:r>
      <w:r w:rsidRPr="00BC517B">
        <w:rPr>
          <w:rFonts w:eastAsia="Times New Roman"/>
          <w:sz w:val="28"/>
          <w:szCs w:val="28"/>
          <w:lang w:eastAsia="en-US"/>
        </w:rPr>
        <w:t xml:space="preserve"> [</w:t>
      </w:r>
      <w:r>
        <w:rPr>
          <w:rFonts w:eastAsia="Times New Roman"/>
          <w:sz w:val="28"/>
          <w:szCs w:val="28"/>
          <w:lang w:eastAsia="en-US"/>
        </w:rPr>
        <w:t>8</w:t>
      </w:r>
      <w:r w:rsidRPr="00BC517B">
        <w:rPr>
          <w:rFonts w:eastAsia="Times New Roman"/>
          <w:sz w:val="28"/>
          <w:szCs w:val="28"/>
          <w:lang w:eastAsia="en-US"/>
        </w:rPr>
        <w:t>]</w:t>
      </w:r>
      <w:r w:rsidRPr="005C4405">
        <w:rPr>
          <w:rFonts w:eastAsia="Times New Roman"/>
          <w:sz w:val="28"/>
          <w:szCs w:val="28"/>
          <w:lang w:eastAsia="en-US"/>
        </w:rPr>
        <w:t>.</w:t>
      </w:r>
    </w:p>
    <w:p w:rsidR="00B455D6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>Наиболее неоднозначным является вопрос о составе гражданской методологии, о тех методах, которые ее формируют. Как было рассмотрено выше</w:t>
      </w:r>
      <w:r>
        <w:rPr>
          <w:rFonts w:eastAsia="Times New Roman"/>
          <w:sz w:val="28"/>
          <w:szCs w:val="28"/>
          <w:lang w:eastAsia="en-US"/>
        </w:rPr>
        <w:t>,</w:t>
      </w:r>
      <w:r w:rsidRPr="005C4405">
        <w:rPr>
          <w:rFonts w:eastAsia="Times New Roman"/>
          <w:sz w:val="28"/>
          <w:szCs w:val="28"/>
          <w:lang w:eastAsia="en-US"/>
        </w:rPr>
        <w:t xml:space="preserve"> в целом методы познания можно разделить на: </w:t>
      </w:r>
    </w:p>
    <w:p w:rsidR="00B455D6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 xml:space="preserve">а) философские средства познания права; </w:t>
      </w:r>
    </w:p>
    <w:p w:rsidR="00B455D6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 xml:space="preserve">б) общенаучные средства; </w:t>
      </w:r>
    </w:p>
    <w:p w:rsidR="00B455D6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 xml:space="preserve">в) специально-юридические средства; </w:t>
      </w:r>
    </w:p>
    <w:p w:rsidR="00B455D6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>г) методика и техника исследования</w:t>
      </w:r>
      <w:r>
        <w:rPr>
          <w:rFonts w:eastAsia="Times New Roman"/>
          <w:sz w:val="28"/>
          <w:szCs w:val="28"/>
          <w:lang w:eastAsia="en-US"/>
        </w:rPr>
        <w:t>;</w:t>
      </w:r>
      <w:r w:rsidRPr="005C4405">
        <w:rPr>
          <w:rFonts w:eastAsia="Times New Roman"/>
          <w:sz w:val="28"/>
          <w:szCs w:val="28"/>
          <w:lang w:eastAsia="en-US"/>
        </w:rPr>
        <w:t xml:space="preserve"> </w:t>
      </w:r>
    </w:p>
    <w:p w:rsidR="00B455D6" w:rsidRPr="005C4405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>д) методы частных наук.</w:t>
      </w:r>
    </w:p>
    <w:p w:rsidR="00B455D6" w:rsidRPr="005C4405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 xml:space="preserve">При разработке методологии гражданского права следует использовать, во-первых, общенаучные и, во-вторых, общеправовые методологические концепции. Понятие и структура общенаучной и общеправовой методологии являются в настоящее время в определенной степени разработанными. </w:t>
      </w:r>
      <w:r>
        <w:rPr>
          <w:rFonts w:eastAsia="Times New Roman"/>
          <w:sz w:val="28"/>
          <w:szCs w:val="28"/>
          <w:lang w:eastAsia="en-US"/>
        </w:rPr>
        <w:t>Несмотря на то, что н</w:t>
      </w:r>
      <w:r w:rsidRPr="005C4405">
        <w:rPr>
          <w:rFonts w:eastAsia="Times New Roman"/>
          <w:sz w:val="28"/>
          <w:szCs w:val="28"/>
          <w:lang w:eastAsia="en-US"/>
        </w:rPr>
        <w:t>екоторые вопросы являются либо дискуссионными, либо недостаточно обоснованными, но в целом основа как общенаучной, так и общеправовой методологии сформирована.</w:t>
      </w:r>
    </w:p>
    <w:p w:rsidR="00B455D6" w:rsidRPr="005C4405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>С другой стороны, м</w:t>
      </w:r>
      <w:r w:rsidRPr="005C4405">
        <w:rPr>
          <w:rFonts w:eastAsia="Times New Roman"/>
          <w:sz w:val="28"/>
          <w:szCs w:val="28"/>
          <w:lang w:eastAsia="en-US"/>
        </w:rPr>
        <w:t>етодология гражданского права не может противоречить общенаучной и общеправовой методологии, поскольку является их разновидностью. Все три типа методологии соотносятся между собой как часть и целое. Общенаучная методология является основой для методологии различных специальных наук. Одной из них является юриспруденция. Юридическая методология использует общенаучные теории о понятии и основных методах научного исследования. Ее основные категории базируются на общенау</w:t>
      </w:r>
      <w:r>
        <w:rPr>
          <w:rFonts w:eastAsia="Times New Roman"/>
          <w:sz w:val="28"/>
          <w:szCs w:val="28"/>
          <w:lang w:eastAsia="en-US"/>
        </w:rPr>
        <w:t>чной методологии. В то же время,</w:t>
      </w:r>
      <w:r w:rsidRPr="005C4405">
        <w:rPr>
          <w:rFonts w:eastAsia="Times New Roman"/>
          <w:sz w:val="28"/>
          <w:szCs w:val="28"/>
          <w:lang w:eastAsia="en-US"/>
        </w:rPr>
        <w:t xml:space="preserve"> учитывая специальный предмет исследования, использования только общенаучных методов будет недостаточно для его изучения. Требуются специальные методы, позволяющие эффективно исследовать специфику предмета юриспруденции. Т</w:t>
      </w:r>
      <w:r>
        <w:rPr>
          <w:rFonts w:eastAsia="Times New Roman"/>
          <w:sz w:val="28"/>
          <w:szCs w:val="28"/>
          <w:lang w:eastAsia="en-US"/>
        </w:rPr>
        <w:t>аким образом,</w:t>
      </w:r>
      <w:r w:rsidRPr="005C4405">
        <w:rPr>
          <w:rFonts w:eastAsia="Times New Roman"/>
          <w:sz w:val="28"/>
          <w:szCs w:val="28"/>
          <w:lang w:eastAsia="en-US"/>
        </w:rPr>
        <w:t xml:space="preserve"> предмету определенной науки должны соответствовать методы его изучения. Практически каждая наука обладает самостоятельными методами исследования. При этом понятийный аппарат, а также структура специальной методологии базируются на общенаучной.</w:t>
      </w:r>
    </w:p>
    <w:p w:rsidR="00B455D6" w:rsidRPr="005C4405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>Гражданское право (частное право) выступает самостоятельной наукой в составе юриспруденции. Его предмет является специальным по отношению к науке вообще, а также к правоведению. Следовательно, методами его изучения должны быть не только общенаучные и общеправовые приемы, но и специальные способы исследования, характерные только для частного права. Таким образом, методология гражданского права должна базироваться на понятийном аппарате и структуре общенаучной и общеправовой методологии, а также обладать самостоятельными методами исследования.</w:t>
      </w:r>
    </w:p>
    <w:p w:rsidR="00B455D6" w:rsidRPr="005C4405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>Исходя из изложенных выше положений</w:t>
      </w:r>
      <w:r>
        <w:rPr>
          <w:rFonts w:eastAsia="Times New Roman"/>
          <w:sz w:val="28"/>
          <w:szCs w:val="28"/>
          <w:lang w:eastAsia="en-US"/>
        </w:rPr>
        <w:t>,</w:t>
      </w:r>
      <w:r w:rsidRPr="005C4405">
        <w:rPr>
          <w:rFonts w:eastAsia="Times New Roman"/>
          <w:sz w:val="28"/>
          <w:szCs w:val="28"/>
          <w:lang w:eastAsia="en-US"/>
        </w:rPr>
        <w:t xml:space="preserve"> можно высказать ряд предварительных замечаний относительно данной проблемы в науке гражданского права. Полагаем, что методологию гражданского права следует рассматривать как совокупность общих и специальных методов познания</w:t>
      </w:r>
      <w:r>
        <w:rPr>
          <w:rFonts w:eastAsia="Times New Roman"/>
          <w:sz w:val="28"/>
          <w:szCs w:val="28"/>
          <w:lang w:eastAsia="en-US"/>
        </w:rPr>
        <w:t xml:space="preserve"> </w:t>
      </w:r>
      <w:r w:rsidRPr="005C4405">
        <w:rPr>
          <w:rFonts w:eastAsia="Times New Roman"/>
          <w:sz w:val="28"/>
          <w:szCs w:val="28"/>
          <w:lang w:eastAsia="en-US"/>
        </w:rPr>
        <w:t xml:space="preserve">гражданского права. </w:t>
      </w:r>
    </w:p>
    <w:p w:rsidR="00B455D6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 xml:space="preserve">Считаем, что нужно выделить следующие особенности методологии гражданского права: </w:t>
      </w:r>
    </w:p>
    <w:p w:rsidR="00B455D6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 xml:space="preserve">а) общенаучные  способы; </w:t>
      </w:r>
    </w:p>
    <w:p w:rsidR="00B455D6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 xml:space="preserve">б) средства частных неюридических наук; </w:t>
      </w:r>
    </w:p>
    <w:p w:rsidR="00B455D6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 xml:space="preserve">в) общеправовые приемы; </w:t>
      </w:r>
    </w:p>
    <w:p w:rsidR="00B455D6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 xml:space="preserve">г) способы других (не частных) юридических наук; </w:t>
      </w:r>
    </w:p>
    <w:p w:rsidR="00B455D6" w:rsidRPr="005C4405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 w:rsidRPr="005C4405">
        <w:rPr>
          <w:rFonts w:eastAsia="Times New Roman"/>
          <w:sz w:val="28"/>
          <w:szCs w:val="28"/>
          <w:lang w:eastAsia="en-US"/>
        </w:rPr>
        <w:t>д) специальные методы исследования гражданского права.</w:t>
      </w:r>
    </w:p>
    <w:p w:rsidR="00B455D6" w:rsidRPr="005C4405" w:rsidRDefault="00B455D6" w:rsidP="00231EC4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en-US"/>
        </w:rPr>
        <w:t xml:space="preserve">Представляется, что системный метод исследования относиться к общенаучным способам познания правовой действительности. </w:t>
      </w:r>
      <w:r w:rsidRPr="005C4405">
        <w:rPr>
          <w:rFonts w:eastAsia="Times New Roman"/>
          <w:sz w:val="28"/>
          <w:szCs w:val="28"/>
          <w:lang w:eastAsia="en-US"/>
        </w:rPr>
        <w:t xml:space="preserve">Системный подход позволяет установить такие качества гражданского права, как целостность, однородность и единство. </w:t>
      </w:r>
      <w:r w:rsidRPr="005C4405">
        <w:rPr>
          <w:bCs/>
          <w:sz w:val="28"/>
          <w:szCs w:val="28"/>
          <w:lang w:eastAsia="en-US"/>
        </w:rPr>
        <w:t xml:space="preserve">Обращение к системному анализу является одним из важнейших методологических направлений понимания отдельных </w:t>
      </w:r>
      <w:r w:rsidRPr="005C4405">
        <w:rPr>
          <w:sz w:val="28"/>
          <w:szCs w:val="28"/>
          <w:lang w:eastAsia="en-US"/>
        </w:rPr>
        <w:t>категорий и понятий цивилистики</w:t>
      </w:r>
      <w:r>
        <w:rPr>
          <w:sz w:val="28"/>
          <w:szCs w:val="28"/>
        </w:rPr>
        <w:t xml:space="preserve">. </w:t>
      </w:r>
      <w:r w:rsidRPr="005C4405">
        <w:rPr>
          <w:sz w:val="28"/>
          <w:szCs w:val="28"/>
        </w:rPr>
        <w:t>Реализация всеобщности системного подхода верн</w:t>
      </w:r>
      <w:r>
        <w:rPr>
          <w:sz w:val="28"/>
          <w:szCs w:val="28"/>
        </w:rPr>
        <w:t>о</w:t>
      </w:r>
      <w:r w:rsidRPr="005C4405">
        <w:rPr>
          <w:sz w:val="28"/>
          <w:szCs w:val="28"/>
        </w:rPr>
        <w:t xml:space="preserve"> замечена, в частности, М.Ю. Челышевым, обратившим внимание на повсеместное распространение попыток рассмотрения правовых категорий как систем</w:t>
      </w:r>
      <w:r w:rsidRPr="00BC517B">
        <w:rPr>
          <w:sz w:val="28"/>
          <w:szCs w:val="28"/>
        </w:rPr>
        <w:t xml:space="preserve"> [</w:t>
      </w:r>
      <w:r>
        <w:rPr>
          <w:sz w:val="28"/>
          <w:szCs w:val="28"/>
        </w:rPr>
        <w:t>9</w:t>
      </w:r>
      <w:r w:rsidRPr="00BC517B">
        <w:rPr>
          <w:sz w:val="28"/>
          <w:szCs w:val="28"/>
        </w:rPr>
        <w:t>]</w:t>
      </w:r>
      <w:r w:rsidRPr="005C4405">
        <w:rPr>
          <w:sz w:val="28"/>
          <w:szCs w:val="28"/>
        </w:rPr>
        <w:t>. Он отмечает распространение системных исследований как в науке, изучающей отечественное право, так и в сравнительно-правовых исследованиях, где в статике сравниваются одноименные категории, используемые в различных правовопорядках</w:t>
      </w:r>
      <w:r>
        <w:rPr>
          <w:sz w:val="28"/>
          <w:szCs w:val="28"/>
        </w:rPr>
        <w:t>. П</w:t>
      </w:r>
      <w:r w:rsidRPr="005C4405">
        <w:rPr>
          <w:sz w:val="28"/>
          <w:szCs w:val="28"/>
        </w:rPr>
        <w:t>о его мнению, системным исследованием явля</w:t>
      </w:r>
      <w:r>
        <w:rPr>
          <w:sz w:val="28"/>
          <w:szCs w:val="28"/>
        </w:rPr>
        <w:t>ю</w:t>
      </w:r>
      <w:r w:rsidRPr="005C4405">
        <w:rPr>
          <w:sz w:val="28"/>
          <w:szCs w:val="28"/>
        </w:rPr>
        <w:t>тся выявление места гражданского права в российском праве и определение структуры самого гражданского права.</w:t>
      </w:r>
    </w:p>
    <w:p w:rsidR="00B455D6" w:rsidRPr="005C4405" w:rsidRDefault="00B455D6" w:rsidP="006C4C8C">
      <w:pPr>
        <w:pStyle w:val="10"/>
        <w:shd w:val="clear" w:color="auto" w:fill="auto"/>
        <w:spacing w:after="0" w:line="360" w:lineRule="auto"/>
        <w:ind w:left="20" w:right="20" w:firstLine="720"/>
        <w:jc w:val="both"/>
        <w:rPr>
          <w:sz w:val="28"/>
          <w:szCs w:val="28"/>
        </w:rPr>
      </w:pPr>
      <w:r w:rsidRPr="005C4405">
        <w:rPr>
          <w:sz w:val="28"/>
          <w:szCs w:val="28"/>
        </w:rPr>
        <w:t>В настоящее время</w:t>
      </w:r>
      <w:r>
        <w:rPr>
          <w:sz w:val="28"/>
          <w:szCs w:val="28"/>
        </w:rPr>
        <w:t>, по мнению С.Ю. Филипповой,</w:t>
      </w:r>
      <w:r w:rsidRPr="005C4405">
        <w:rPr>
          <w:sz w:val="28"/>
          <w:szCs w:val="28"/>
        </w:rPr>
        <w:t xml:space="preserve"> существуют два основных направления системного подхода: онтологический, в соответствии с которым признаки системы, системность присущи самим объектам действительности, и эпистемологический, в соответствии с которым системность рассматривается как неотделимый от наблюдателя способ изучения явления, его способность</w:t>
      </w:r>
      <w:r>
        <w:rPr>
          <w:sz w:val="28"/>
          <w:szCs w:val="28"/>
        </w:rPr>
        <w:t xml:space="preserve"> </w:t>
      </w:r>
      <w:r w:rsidRPr="005C4405">
        <w:rPr>
          <w:sz w:val="28"/>
          <w:szCs w:val="28"/>
        </w:rPr>
        <w:t>сконструировать предмет исследования как системный</w:t>
      </w:r>
      <w:r w:rsidRPr="00BC517B">
        <w:rPr>
          <w:sz w:val="28"/>
          <w:szCs w:val="28"/>
        </w:rPr>
        <w:t xml:space="preserve"> [1</w:t>
      </w:r>
      <w:r>
        <w:rPr>
          <w:sz w:val="28"/>
          <w:szCs w:val="28"/>
        </w:rPr>
        <w:t>0</w:t>
      </w:r>
      <w:r w:rsidRPr="00BC517B">
        <w:rPr>
          <w:sz w:val="28"/>
          <w:szCs w:val="28"/>
        </w:rPr>
        <w:t>]</w:t>
      </w:r>
      <w:r w:rsidRPr="005C4405">
        <w:rPr>
          <w:sz w:val="28"/>
          <w:szCs w:val="28"/>
        </w:rPr>
        <w:t>.</w:t>
      </w:r>
    </w:p>
    <w:p w:rsidR="00B455D6" w:rsidRPr="005C4405" w:rsidRDefault="00B455D6" w:rsidP="00451B2F">
      <w:pPr>
        <w:spacing w:line="360" w:lineRule="auto"/>
        <w:ind w:firstLine="567"/>
        <w:jc w:val="both"/>
        <w:rPr>
          <w:rFonts w:eastAsia="Times New Roman"/>
          <w:sz w:val="28"/>
          <w:szCs w:val="28"/>
        </w:rPr>
      </w:pPr>
      <w:r w:rsidRPr="005C4405">
        <w:rPr>
          <w:rFonts w:eastAsia="Times New Roman"/>
          <w:sz w:val="28"/>
          <w:szCs w:val="28"/>
          <w:lang w:eastAsia="en-US"/>
        </w:rPr>
        <w:t xml:space="preserve">Научная новизна и всесторонность исследования сложных объектов, к которым, несомненно, относятся большинство объектов науки гражданского права, может быть в достаточной степени обеспечена путем расширения методологических подходов к их исследованию. Последнее направление может быть осуществлено </w:t>
      </w:r>
      <w:r>
        <w:rPr>
          <w:rFonts w:eastAsia="Times New Roman"/>
          <w:sz w:val="28"/>
          <w:szCs w:val="28"/>
          <w:lang w:eastAsia="en-US"/>
        </w:rPr>
        <w:t xml:space="preserve">именно </w:t>
      </w:r>
      <w:r w:rsidRPr="005C4405">
        <w:rPr>
          <w:rFonts w:eastAsia="Times New Roman"/>
          <w:sz w:val="28"/>
          <w:szCs w:val="28"/>
          <w:lang w:eastAsia="en-US"/>
        </w:rPr>
        <w:t>за счет широкого использования системной методологии.</w:t>
      </w:r>
    </w:p>
    <w:p w:rsidR="00B455D6" w:rsidRPr="005C4405" w:rsidRDefault="00B455D6" w:rsidP="005C440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При исследовании сущности системной методологии в цивилистической науке п</w:t>
      </w:r>
      <w:r w:rsidRPr="005C4405">
        <w:rPr>
          <w:rFonts w:eastAsia="Times New Roman"/>
          <w:sz w:val="28"/>
          <w:szCs w:val="28"/>
        </w:rPr>
        <w:t xml:space="preserve">редставляется, что первоначально необходимо обратиться к </w:t>
      </w:r>
      <w:r>
        <w:rPr>
          <w:rFonts w:cs="Bookman Old Style"/>
          <w:color w:val="000000"/>
          <w:sz w:val="28"/>
          <w:szCs w:val="28"/>
        </w:rPr>
        <w:t>общей теории систем</w:t>
      </w:r>
      <w:r w:rsidRPr="005C4405">
        <w:rPr>
          <w:rFonts w:cs="Bookman Old Style"/>
          <w:color w:val="000000"/>
          <w:sz w:val="28"/>
          <w:szCs w:val="28"/>
        </w:rPr>
        <w:t>. С</w:t>
      </w:r>
      <w:r w:rsidRPr="005C4405">
        <w:rPr>
          <w:sz w:val="28"/>
          <w:szCs w:val="28"/>
        </w:rPr>
        <w:t>ледует отметить, что в общетеоретическом и философском плане понятие «система» определяется весьма неоднозначно. Однако как справедливо отмечает А.Н. Аверьянов, сколь бы не разнились эти определения, в понятиях рода и вида различных систем «все-таки содержится нечто, отражающее объективно существующее общее, а именно – взаимосвязанное множество»</w:t>
      </w:r>
      <w:r w:rsidRPr="00BC517B">
        <w:rPr>
          <w:sz w:val="28"/>
          <w:szCs w:val="28"/>
        </w:rPr>
        <w:t xml:space="preserve"> [1</w:t>
      </w:r>
      <w:r>
        <w:rPr>
          <w:sz w:val="28"/>
          <w:szCs w:val="28"/>
        </w:rPr>
        <w:t>1</w:t>
      </w:r>
      <w:r w:rsidRPr="00BC517B">
        <w:rPr>
          <w:sz w:val="28"/>
          <w:szCs w:val="28"/>
        </w:rPr>
        <w:t>]</w:t>
      </w:r>
      <w:r w:rsidRPr="005C4405">
        <w:rPr>
          <w:sz w:val="28"/>
          <w:szCs w:val="28"/>
        </w:rPr>
        <w:t>.</w:t>
      </w:r>
    </w:p>
    <w:p w:rsidR="00B455D6" w:rsidRPr="005C4405" w:rsidRDefault="00B455D6" w:rsidP="005C4405">
      <w:pPr>
        <w:spacing w:line="360" w:lineRule="auto"/>
        <w:ind w:firstLine="708"/>
        <w:jc w:val="both"/>
        <w:rPr>
          <w:sz w:val="28"/>
          <w:szCs w:val="28"/>
        </w:rPr>
      </w:pPr>
      <w:r w:rsidRPr="005C4405">
        <w:rPr>
          <w:sz w:val="28"/>
          <w:szCs w:val="28"/>
        </w:rPr>
        <w:t>Прежде всего, система является философской категорией. Главным признаком всякого философского понятия, характеризующего объективную диалектику окружающего мира, должно быть то, что такое понятие отражает отношения действительности. Вместе с тем, по справедливому замечанию А.Н. Аверьянова, данная категория может выступать и как конкретно-научное и общенаучное понятие. Последнее может стать философской категорией лишь тогда, когда оно наполнится таким содержанием, которое проявляется в любой области знания. Поэтому, по его мнению, если то или иное понятие используется и в конкретной науке, и в мировоззренческом смысле, то нет необходимости локализации его в какой-то определенной области</w:t>
      </w:r>
      <w:r w:rsidRPr="00BC517B">
        <w:rPr>
          <w:sz w:val="28"/>
          <w:szCs w:val="28"/>
        </w:rPr>
        <w:t xml:space="preserve"> [1</w:t>
      </w:r>
      <w:r>
        <w:rPr>
          <w:sz w:val="28"/>
          <w:szCs w:val="28"/>
        </w:rPr>
        <w:t>1</w:t>
      </w:r>
      <w:r w:rsidRPr="00BC517B">
        <w:rPr>
          <w:sz w:val="28"/>
          <w:szCs w:val="28"/>
        </w:rPr>
        <w:t>]</w:t>
      </w:r>
      <w:r w:rsidRPr="005C4405">
        <w:rPr>
          <w:sz w:val="28"/>
          <w:szCs w:val="28"/>
        </w:rPr>
        <w:t>.</w:t>
      </w:r>
    </w:p>
    <w:p w:rsidR="00B455D6" w:rsidRPr="005C4405" w:rsidRDefault="00B455D6" w:rsidP="005C4405">
      <w:pPr>
        <w:spacing w:line="360" w:lineRule="auto"/>
        <w:ind w:firstLine="708"/>
        <w:jc w:val="both"/>
        <w:rPr>
          <w:sz w:val="28"/>
          <w:szCs w:val="28"/>
        </w:rPr>
      </w:pPr>
      <w:r w:rsidRPr="005C4405">
        <w:rPr>
          <w:sz w:val="28"/>
          <w:szCs w:val="28"/>
        </w:rPr>
        <w:t>Среди достаточного количества определений понятия «система» можно отметить в основном такие определения, в основу которых положена та или иная совокупность признаков, различающиеся как по количеству, так и по качеству. Однако большинство ученых сходятся во мнении, базирующемся на идеях основателя общей теории систем Л. фон Берталанфи, что обязательными признаками системы являются наличие множественности элементов и наличие связей (отношений, взаимодействия) между ними. Как известно, Л. фон Берталанфи под системой понимает комплекс элементов, находящихся во взаимодействии</w:t>
      </w:r>
      <w:r>
        <w:rPr>
          <w:sz w:val="28"/>
          <w:szCs w:val="28"/>
        </w:rPr>
        <w:t xml:space="preserve"> [12</w:t>
      </w:r>
      <w:r w:rsidRPr="00BC517B">
        <w:rPr>
          <w:sz w:val="28"/>
          <w:szCs w:val="28"/>
        </w:rPr>
        <w:t>]</w:t>
      </w:r>
      <w:r w:rsidRPr="005C4405">
        <w:rPr>
          <w:sz w:val="28"/>
          <w:szCs w:val="28"/>
        </w:rPr>
        <w:t>.</w:t>
      </w:r>
    </w:p>
    <w:p w:rsidR="00B455D6" w:rsidRPr="005C4405" w:rsidRDefault="00B455D6" w:rsidP="005C4405">
      <w:pPr>
        <w:spacing w:line="360" w:lineRule="auto"/>
        <w:ind w:firstLine="567"/>
        <w:jc w:val="both"/>
        <w:rPr>
          <w:sz w:val="28"/>
          <w:szCs w:val="28"/>
        </w:rPr>
      </w:pPr>
      <w:r w:rsidRPr="005C4405">
        <w:rPr>
          <w:sz w:val="28"/>
          <w:szCs w:val="28"/>
        </w:rPr>
        <w:t>На основе исследовании общей теории систем можно сделать вывод, что система имеет два аспекта: внутренний и внешний. К базовым принципам системы относятся принцип ее целостности, образования в результате сочетания различных явлений, новых качеств, свойств, которыми они не обладают в разрозненном состоянии; принцип многообразия связей системы с внешней средой, способы взаимодействия с которой имеют большое значение для правильного понимания отноше</w:t>
      </w:r>
      <w:r w:rsidRPr="005C4405">
        <w:rPr>
          <w:sz w:val="28"/>
          <w:szCs w:val="28"/>
        </w:rPr>
        <w:softHyphen/>
        <w:t>ний внутри самой системы. С изложенной позиции именно названная выше совокупность принципов позволяет сформулировать общее понятие системы как целостного отграниченного множества находящихся во взаимодействии (взаимосвязи) элементов.</w:t>
      </w:r>
    </w:p>
    <w:p w:rsidR="00B455D6" w:rsidRPr="005C4405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C4405">
        <w:rPr>
          <w:rFonts w:eastAsia="Times New Roman"/>
          <w:sz w:val="28"/>
          <w:szCs w:val="28"/>
          <w:lang w:eastAsia="en-US"/>
        </w:rPr>
        <w:t xml:space="preserve">Понимание принципа </w:t>
      </w:r>
      <w:r w:rsidRPr="005C4405">
        <w:rPr>
          <w:rFonts w:eastAsia="Times New Roman"/>
          <w:i/>
          <w:sz w:val="28"/>
          <w:szCs w:val="28"/>
          <w:lang w:eastAsia="en-US"/>
        </w:rPr>
        <w:t>системности</w:t>
      </w:r>
      <w:r w:rsidRPr="005C4405">
        <w:rPr>
          <w:rFonts w:eastAsia="Times New Roman"/>
          <w:sz w:val="28"/>
          <w:szCs w:val="28"/>
          <w:lang w:eastAsia="en-US"/>
        </w:rPr>
        <w:t xml:space="preserve"> в целях формирования методологической базы современных цивилистических исследований имеет важное значение, поскольку позволяет рассматривать процесс познания как системное действие, которое должно осуществляться системными методами, на основе системных этапов, решений и правил с применением системы оценок. </w:t>
      </w:r>
      <w:r w:rsidRPr="005C4405">
        <w:rPr>
          <w:sz w:val="28"/>
          <w:szCs w:val="28"/>
        </w:rPr>
        <w:t>Системный подход позволяет исследовать правовую материю как целостное, относительно самостоятельное образование и в комплексе с другими аналогичными общественными  явлениями и процессами. П</w:t>
      </w:r>
      <w:r w:rsidRPr="005C4405">
        <w:rPr>
          <w:rFonts w:eastAsia="Times New Roman"/>
          <w:sz w:val="28"/>
          <w:szCs w:val="28"/>
        </w:rPr>
        <w:t xml:space="preserve">ри системном подходе объект цивилистического исследования следует рассматривать в качестве относительно самостоятельного элемента целостной системы более высокого ранга – правовой системы. При этом само содержание исследуемой системы как сложноорганизованного </w:t>
      </w:r>
      <w:r w:rsidRPr="005C4405">
        <w:rPr>
          <w:sz w:val="28"/>
          <w:szCs w:val="28"/>
        </w:rPr>
        <w:t>многоуровневого</w:t>
      </w:r>
      <w:r w:rsidRPr="005C4405">
        <w:rPr>
          <w:rFonts w:eastAsia="Times New Roman"/>
          <w:sz w:val="28"/>
          <w:szCs w:val="28"/>
        </w:rPr>
        <w:t xml:space="preserve"> образования </w:t>
      </w:r>
      <w:r w:rsidRPr="005C4405">
        <w:rPr>
          <w:sz w:val="28"/>
          <w:szCs w:val="28"/>
        </w:rPr>
        <w:t xml:space="preserve">должно </w:t>
      </w:r>
      <w:r w:rsidRPr="005C4405">
        <w:rPr>
          <w:rFonts w:eastAsia="Times New Roman"/>
          <w:sz w:val="28"/>
          <w:szCs w:val="28"/>
        </w:rPr>
        <w:t>рассматриват</w:t>
      </w:r>
      <w:r w:rsidRPr="005C4405">
        <w:rPr>
          <w:sz w:val="28"/>
          <w:szCs w:val="28"/>
        </w:rPr>
        <w:t>ь</w:t>
      </w:r>
      <w:r w:rsidRPr="005C4405">
        <w:rPr>
          <w:rFonts w:eastAsia="Times New Roman"/>
          <w:sz w:val="28"/>
          <w:szCs w:val="28"/>
        </w:rPr>
        <w:t xml:space="preserve">ся отдельно сквозь призму составляющих её определенных структурных элементов (более частных </w:t>
      </w:r>
      <w:r w:rsidRPr="005C4405">
        <w:rPr>
          <w:sz w:val="28"/>
          <w:szCs w:val="28"/>
        </w:rPr>
        <w:t>подсистем</w:t>
      </w:r>
      <w:r w:rsidRPr="005C4405">
        <w:rPr>
          <w:rFonts w:eastAsia="Times New Roman"/>
          <w:sz w:val="28"/>
          <w:szCs w:val="28"/>
        </w:rPr>
        <w:t xml:space="preserve">). Другими словами, системный подход предполагает рассмотрение объекта исследования в науке гражданского права как самостоятельного и неотъемлемого элемента отечественного права как системы более высокого порядка. </w:t>
      </w:r>
    </w:p>
    <w:p w:rsidR="00B455D6" w:rsidRPr="005C4405" w:rsidRDefault="00B455D6" w:rsidP="005C4405">
      <w:pPr>
        <w:snapToGrid w:val="0"/>
        <w:spacing w:line="360" w:lineRule="auto"/>
        <w:ind w:firstLine="708"/>
        <w:jc w:val="both"/>
        <w:rPr>
          <w:rFonts w:eastAsia="Times New Roman"/>
          <w:sz w:val="28"/>
          <w:szCs w:val="28"/>
        </w:rPr>
      </w:pPr>
      <w:r w:rsidRPr="005C4405">
        <w:rPr>
          <w:sz w:val="28"/>
          <w:szCs w:val="28"/>
          <w:lang w:eastAsia="en-US"/>
        </w:rPr>
        <w:t xml:space="preserve">Структурно-функциональный анализ является неотъемлемым элементом системного метода познания правовой действительности, который позволяет сосредоточиться на формально-юридическом аспекте действующего гражданского права. </w:t>
      </w:r>
      <w:r w:rsidRPr="005C4405">
        <w:rPr>
          <w:rFonts w:eastAsia="Times New Roman"/>
          <w:sz w:val="28"/>
          <w:szCs w:val="28"/>
        </w:rPr>
        <w:t xml:space="preserve">Системный анализ в гражданском праве основан на функциональном своеобразии его структурных элементов, </w:t>
      </w:r>
      <w:r w:rsidRPr="005C4405">
        <w:rPr>
          <w:sz w:val="28"/>
          <w:szCs w:val="28"/>
          <w:lang w:eastAsia="en-US"/>
        </w:rPr>
        <w:t xml:space="preserve">на их закономерностях, стабильных связях, состояниях и их организации. Задача данного метода </w:t>
      </w:r>
      <w:r w:rsidRPr="005C4405">
        <w:rPr>
          <w:rFonts w:eastAsia="Times New Roman"/>
          <w:sz w:val="28"/>
          <w:szCs w:val="28"/>
        </w:rPr>
        <w:t>заключается в выяснении природы отдельных видов исследуемых объектов, истоков их становления и перспектив развития в механизме правового регулирования имущественных отношений.</w:t>
      </w:r>
    </w:p>
    <w:p w:rsidR="00B455D6" w:rsidRPr="005C4405" w:rsidRDefault="00B455D6" w:rsidP="005E3092">
      <w:pPr>
        <w:spacing w:line="360" w:lineRule="auto"/>
        <w:ind w:firstLine="708"/>
        <w:jc w:val="both"/>
        <w:rPr>
          <w:sz w:val="28"/>
          <w:szCs w:val="28"/>
        </w:rPr>
      </w:pPr>
      <w:r w:rsidRPr="005C4405">
        <w:rPr>
          <w:rFonts w:eastAsia="Times New Roman"/>
          <w:sz w:val="28"/>
          <w:szCs w:val="28"/>
        </w:rPr>
        <w:t xml:space="preserve">В процессе </w:t>
      </w:r>
      <w:r w:rsidRPr="005C4405">
        <w:rPr>
          <w:sz w:val="28"/>
          <w:szCs w:val="28"/>
        </w:rPr>
        <w:t>р</w:t>
      </w:r>
      <w:r w:rsidRPr="005C4405">
        <w:rPr>
          <w:rFonts w:eastAsia="Times New Roman"/>
          <w:sz w:val="28"/>
          <w:szCs w:val="28"/>
        </w:rPr>
        <w:t xml:space="preserve">ассмотрения того или оного объекта исследования с системных позиций </w:t>
      </w:r>
      <w:r w:rsidRPr="005C4405">
        <w:rPr>
          <w:sz w:val="28"/>
          <w:szCs w:val="28"/>
        </w:rPr>
        <w:t xml:space="preserve">следует обратить внимание </w:t>
      </w:r>
      <w:r w:rsidRPr="005C4405">
        <w:rPr>
          <w:rFonts w:eastAsia="Times New Roman"/>
          <w:sz w:val="28"/>
          <w:szCs w:val="28"/>
        </w:rPr>
        <w:t>на наиболее важны</w:t>
      </w:r>
      <w:r w:rsidRPr="005C4405">
        <w:rPr>
          <w:sz w:val="28"/>
          <w:szCs w:val="28"/>
        </w:rPr>
        <w:t>е признаки исследуемой системы</w:t>
      </w:r>
      <w:r w:rsidRPr="005C4405"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</w:rPr>
        <w:t xml:space="preserve">которые позволяет разработать </w:t>
      </w:r>
      <w:r w:rsidRPr="005C4405">
        <w:rPr>
          <w:rFonts w:eastAsia="Times New Roman"/>
          <w:sz w:val="28"/>
          <w:szCs w:val="28"/>
        </w:rPr>
        <w:t>общее п</w:t>
      </w:r>
      <w:r>
        <w:rPr>
          <w:rFonts w:eastAsia="Times New Roman"/>
          <w:sz w:val="28"/>
          <w:szCs w:val="28"/>
        </w:rPr>
        <w:t>онимание</w:t>
      </w:r>
      <w:r w:rsidRPr="005C4405">
        <w:rPr>
          <w:rFonts w:eastAsia="Times New Roman"/>
          <w:sz w:val="28"/>
          <w:szCs w:val="28"/>
        </w:rPr>
        <w:t xml:space="preserve"> о системном характере рассматриваемой правовой материи. </w:t>
      </w:r>
      <w:r>
        <w:rPr>
          <w:sz w:val="28"/>
          <w:szCs w:val="28"/>
        </w:rPr>
        <w:t xml:space="preserve">Вместе с этим </w:t>
      </w:r>
      <w:r w:rsidRPr="005C4405">
        <w:rPr>
          <w:sz w:val="28"/>
          <w:szCs w:val="28"/>
        </w:rPr>
        <w:t>проведени</w:t>
      </w:r>
      <w:r>
        <w:rPr>
          <w:sz w:val="28"/>
          <w:szCs w:val="28"/>
        </w:rPr>
        <w:t>е</w:t>
      </w:r>
      <w:r w:rsidRPr="005C4405">
        <w:rPr>
          <w:sz w:val="28"/>
          <w:szCs w:val="28"/>
        </w:rPr>
        <w:t xml:space="preserve"> системн</w:t>
      </w:r>
      <w:r>
        <w:rPr>
          <w:sz w:val="28"/>
          <w:szCs w:val="28"/>
        </w:rPr>
        <w:t>ого</w:t>
      </w:r>
      <w:r w:rsidRPr="005C4405">
        <w:rPr>
          <w:sz w:val="28"/>
          <w:szCs w:val="28"/>
        </w:rPr>
        <w:t xml:space="preserve"> исследовани</w:t>
      </w:r>
      <w:r>
        <w:rPr>
          <w:sz w:val="28"/>
          <w:szCs w:val="28"/>
        </w:rPr>
        <w:t xml:space="preserve">я в цивилистике должно базироваться на общих </w:t>
      </w:r>
      <w:r w:rsidRPr="005C4405">
        <w:rPr>
          <w:sz w:val="28"/>
          <w:szCs w:val="28"/>
        </w:rPr>
        <w:t>методологических требовани</w:t>
      </w:r>
      <w:r>
        <w:rPr>
          <w:sz w:val="28"/>
          <w:szCs w:val="28"/>
        </w:rPr>
        <w:t xml:space="preserve">ях. В частности, рассмотрение любого структурного </w:t>
      </w:r>
      <w:r w:rsidRPr="005C4405">
        <w:rPr>
          <w:sz w:val="28"/>
          <w:szCs w:val="28"/>
        </w:rPr>
        <w:t>элемента</w:t>
      </w:r>
      <w:r>
        <w:rPr>
          <w:sz w:val="28"/>
          <w:szCs w:val="28"/>
        </w:rPr>
        <w:t xml:space="preserve"> системы</w:t>
      </w:r>
      <w:r w:rsidRPr="005C4405">
        <w:rPr>
          <w:sz w:val="28"/>
          <w:szCs w:val="28"/>
        </w:rPr>
        <w:t xml:space="preserve"> должно сопровождаться уяснением его места и функций в системе</w:t>
      </w:r>
      <w:r>
        <w:rPr>
          <w:sz w:val="28"/>
          <w:szCs w:val="28"/>
        </w:rPr>
        <w:t>. О</w:t>
      </w:r>
      <w:r w:rsidRPr="005C4405">
        <w:rPr>
          <w:sz w:val="28"/>
          <w:szCs w:val="28"/>
        </w:rPr>
        <w:t xml:space="preserve">дин и тот же элемент </w:t>
      </w:r>
      <w:r>
        <w:rPr>
          <w:sz w:val="28"/>
          <w:szCs w:val="28"/>
        </w:rPr>
        <w:t>следует</w:t>
      </w:r>
      <w:r w:rsidRPr="005C4405">
        <w:rPr>
          <w:sz w:val="28"/>
          <w:szCs w:val="28"/>
        </w:rPr>
        <w:t xml:space="preserve"> анализировать </w:t>
      </w:r>
      <w:r>
        <w:rPr>
          <w:sz w:val="28"/>
          <w:szCs w:val="28"/>
        </w:rPr>
        <w:t xml:space="preserve">с позиции принадлежности ему различных по своему характеру и содержанию </w:t>
      </w:r>
      <w:r w:rsidRPr="005C4405">
        <w:rPr>
          <w:sz w:val="28"/>
          <w:szCs w:val="28"/>
        </w:rPr>
        <w:t>свойств и функций, которые проявляются по-разному в соответствии с местом в иерархии</w:t>
      </w:r>
      <w:r>
        <w:rPr>
          <w:sz w:val="28"/>
          <w:szCs w:val="28"/>
        </w:rPr>
        <w:t xml:space="preserve"> рассматриваемой системы</w:t>
      </w:r>
      <w:r w:rsidRPr="005C4405">
        <w:rPr>
          <w:sz w:val="28"/>
          <w:szCs w:val="28"/>
        </w:rPr>
        <w:t xml:space="preserve">. При исследовании систем следует учитывать очень важное их свойство </w:t>
      </w:r>
      <w:r>
        <w:rPr>
          <w:sz w:val="28"/>
          <w:szCs w:val="28"/>
        </w:rPr>
        <w:t xml:space="preserve">– </w:t>
      </w:r>
      <w:r w:rsidRPr="005C4405">
        <w:rPr>
          <w:sz w:val="28"/>
          <w:szCs w:val="28"/>
        </w:rPr>
        <w:t>наличие в них противоположных процессов</w:t>
      </w:r>
      <w:r>
        <w:rPr>
          <w:sz w:val="28"/>
          <w:szCs w:val="28"/>
        </w:rPr>
        <w:t xml:space="preserve">, служащих основой для </w:t>
      </w:r>
      <w:r w:rsidRPr="005C4405">
        <w:rPr>
          <w:sz w:val="28"/>
          <w:szCs w:val="28"/>
        </w:rPr>
        <w:t>развития</w:t>
      </w:r>
      <w:r>
        <w:rPr>
          <w:sz w:val="28"/>
          <w:szCs w:val="28"/>
        </w:rPr>
        <w:t xml:space="preserve"> системы. </w:t>
      </w:r>
      <w:r w:rsidRPr="005C4405">
        <w:rPr>
          <w:rFonts w:eastAsia="Times New Roman"/>
          <w:sz w:val="28"/>
          <w:szCs w:val="28"/>
        </w:rPr>
        <w:t>В целом такой подход к исследованию находится в рамках современных</w:t>
      </w:r>
      <w:r w:rsidRPr="005C4405">
        <w:rPr>
          <w:sz w:val="28"/>
          <w:szCs w:val="28"/>
        </w:rPr>
        <w:t xml:space="preserve"> методологических представлений.</w:t>
      </w:r>
    </w:p>
    <w:p w:rsidR="00B455D6" w:rsidRPr="005C4405" w:rsidRDefault="00B455D6" w:rsidP="00451B2F">
      <w:pPr>
        <w:autoSpaceDE w:val="0"/>
        <w:autoSpaceDN w:val="0"/>
        <w:adjustRightInd w:val="0"/>
        <w:spacing w:line="360" w:lineRule="auto"/>
        <w:ind w:firstLine="539"/>
        <w:jc w:val="both"/>
        <w:rPr>
          <w:rFonts w:eastAsia="Times New Roman"/>
          <w:sz w:val="28"/>
          <w:szCs w:val="28"/>
        </w:rPr>
      </w:pPr>
      <w:r w:rsidRPr="005C4405">
        <w:rPr>
          <w:rFonts w:eastAsia="Times New Roman"/>
          <w:sz w:val="28"/>
          <w:szCs w:val="28"/>
        </w:rPr>
        <w:tab/>
      </w:r>
      <w:r w:rsidRPr="005C4405">
        <w:rPr>
          <w:sz w:val="28"/>
          <w:szCs w:val="28"/>
        </w:rPr>
        <w:t>Системный подход, при</w:t>
      </w:r>
      <w:r>
        <w:rPr>
          <w:sz w:val="28"/>
          <w:szCs w:val="28"/>
        </w:rPr>
        <w:t xml:space="preserve">меняемый к конкретном прикладном цивилистическом исследовании, </w:t>
      </w:r>
      <w:r w:rsidRPr="005C4405">
        <w:rPr>
          <w:sz w:val="28"/>
          <w:szCs w:val="28"/>
        </w:rPr>
        <w:t xml:space="preserve">должен </w:t>
      </w:r>
      <w:r>
        <w:rPr>
          <w:sz w:val="28"/>
          <w:szCs w:val="28"/>
        </w:rPr>
        <w:t xml:space="preserve">помочь исследователю сформировать </w:t>
      </w:r>
      <w:r w:rsidRPr="005C4405">
        <w:rPr>
          <w:sz w:val="28"/>
          <w:szCs w:val="28"/>
        </w:rPr>
        <w:t>новое знание об изучаемом правовом явлении</w:t>
      </w:r>
      <w:r>
        <w:rPr>
          <w:sz w:val="28"/>
          <w:szCs w:val="28"/>
        </w:rPr>
        <w:t xml:space="preserve">. Основная цель </w:t>
      </w:r>
      <w:r w:rsidRPr="005C4405">
        <w:rPr>
          <w:sz w:val="28"/>
          <w:szCs w:val="28"/>
        </w:rPr>
        <w:t>системного подхода реализуется только при определении одного объекта, исследованного с разных сторон (предметов).</w:t>
      </w:r>
      <w:r>
        <w:rPr>
          <w:sz w:val="28"/>
          <w:szCs w:val="28"/>
        </w:rPr>
        <w:t xml:space="preserve"> Одновременно системный метод познания </w:t>
      </w:r>
      <w:r w:rsidRPr="005C4405">
        <w:rPr>
          <w:sz w:val="28"/>
          <w:szCs w:val="28"/>
        </w:rPr>
        <w:t xml:space="preserve">требует более комплексного подхода к исследованию </w:t>
      </w:r>
      <w:r>
        <w:rPr>
          <w:sz w:val="28"/>
          <w:szCs w:val="28"/>
        </w:rPr>
        <w:t xml:space="preserve">всей </w:t>
      </w:r>
      <w:r w:rsidRPr="005C4405">
        <w:rPr>
          <w:sz w:val="28"/>
          <w:szCs w:val="28"/>
        </w:rPr>
        <w:t>цивилистической методологии. Это</w:t>
      </w:r>
      <w:r>
        <w:rPr>
          <w:sz w:val="28"/>
          <w:szCs w:val="28"/>
        </w:rPr>
        <w:t>,</w:t>
      </w:r>
      <w:r w:rsidRPr="005C4405">
        <w:rPr>
          <w:sz w:val="28"/>
          <w:szCs w:val="28"/>
        </w:rPr>
        <w:t xml:space="preserve"> в свою очередь</w:t>
      </w:r>
      <w:r>
        <w:rPr>
          <w:sz w:val="28"/>
          <w:szCs w:val="28"/>
        </w:rPr>
        <w:t>,</w:t>
      </w:r>
      <w:r w:rsidRPr="005C4405">
        <w:rPr>
          <w:sz w:val="28"/>
          <w:szCs w:val="28"/>
        </w:rPr>
        <w:t xml:space="preserve"> позволит раскрыть сущность данного вида методологии применительно к отдельным объектам исследования в гражданском праве. </w:t>
      </w:r>
      <w:r>
        <w:rPr>
          <w:rFonts w:eastAsia="Times New Roman"/>
          <w:sz w:val="28"/>
          <w:szCs w:val="28"/>
        </w:rPr>
        <w:t>Таким образом, н</w:t>
      </w:r>
      <w:r w:rsidRPr="005C4405">
        <w:rPr>
          <w:rStyle w:val="FontStyle65"/>
          <w:sz w:val="28"/>
          <w:szCs w:val="28"/>
        </w:rPr>
        <w:t xml:space="preserve">а современном этапе развития науки гражданского права теоретические разработки системного подхода и использование его как метода современного познания </w:t>
      </w:r>
      <w:r w:rsidRPr="005C4405">
        <w:rPr>
          <w:sz w:val="28"/>
          <w:szCs w:val="28"/>
        </w:rPr>
        <w:t>представляют несомненный интерес.</w:t>
      </w:r>
    </w:p>
    <w:p w:rsidR="00B455D6" w:rsidRPr="005C4405" w:rsidRDefault="00B455D6" w:rsidP="005C4405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5C4405">
        <w:rPr>
          <w:sz w:val="28"/>
          <w:szCs w:val="28"/>
          <w:lang w:eastAsia="en-US"/>
        </w:rPr>
        <w:t xml:space="preserve">Можно выделить следующие </w:t>
      </w:r>
      <w:r>
        <w:rPr>
          <w:sz w:val="28"/>
          <w:szCs w:val="28"/>
          <w:lang w:eastAsia="en-US"/>
        </w:rPr>
        <w:t>преимущества</w:t>
      </w:r>
      <w:r w:rsidRPr="005C4405">
        <w:rPr>
          <w:sz w:val="28"/>
          <w:szCs w:val="28"/>
          <w:lang w:eastAsia="en-US"/>
        </w:rPr>
        <w:t xml:space="preserve"> системной методологии: </w:t>
      </w:r>
    </w:p>
    <w:p w:rsidR="00B455D6" w:rsidRPr="005C4405" w:rsidRDefault="00B455D6" w:rsidP="005C4405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5C4405">
        <w:rPr>
          <w:sz w:val="28"/>
          <w:szCs w:val="28"/>
          <w:lang w:eastAsia="en-US"/>
        </w:rPr>
        <w:t xml:space="preserve">1) потенциал формирования познавательных систем, идентичных (эквивалентных) познаваемым системам; </w:t>
      </w:r>
    </w:p>
    <w:p w:rsidR="00B455D6" w:rsidRPr="005C4405" w:rsidRDefault="00B455D6" w:rsidP="005C4405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5C4405">
        <w:rPr>
          <w:sz w:val="28"/>
          <w:szCs w:val="28"/>
          <w:lang w:eastAsia="en-US"/>
        </w:rPr>
        <w:t xml:space="preserve">2) ядро системного анализа составляют неопределенное множество дискуссионных в теоретическом и практическом плане ситуаций, а также конкретные (отдельные) цели познания и реальность многовариантных решений; </w:t>
      </w:r>
    </w:p>
    <w:p w:rsidR="00B455D6" w:rsidRPr="005C4405" w:rsidRDefault="00B455D6" w:rsidP="005C4405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5C4405">
        <w:rPr>
          <w:sz w:val="28"/>
          <w:szCs w:val="28"/>
          <w:lang w:eastAsia="en-US"/>
        </w:rPr>
        <w:t xml:space="preserve">3) относительную независимость структурных отношений от системных элементов (что, в частности, объясняет целесообразность формальности права); </w:t>
      </w:r>
    </w:p>
    <w:p w:rsidR="00B455D6" w:rsidRPr="005C4405" w:rsidRDefault="00B455D6" w:rsidP="005C4405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5C4405">
        <w:rPr>
          <w:sz w:val="28"/>
          <w:szCs w:val="28"/>
          <w:lang w:eastAsia="en-US"/>
        </w:rPr>
        <w:t>4) наличие познавательных процедур, позволяющих максимально ограничиться типом систем, возможных в сфере правовой и государственной жизни.</w:t>
      </w:r>
    </w:p>
    <w:p w:rsidR="00B455D6" w:rsidRPr="005C4405" w:rsidRDefault="00B455D6" w:rsidP="005C4405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5C4405">
        <w:rPr>
          <w:sz w:val="28"/>
          <w:szCs w:val="28"/>
          <w:lang w:eastAsia="en-US"/>
        </w:rPr>
        <w:t xml:space="preserve">Недостатками системной методологии можно считать следующее: </w:t>
      </w:r>
    </w:p>
    <w:p w:rsidR="00B455D6" w:rsidRPr="005C4405" w:rsidRDefault="00B455D6" w:rsidP="005C4405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5C4405">
        <w:rPr>
          <w:sz w:val="28"/>
          <w:szCs w:val="28"/>
          <w:lang w:eastAsia="en-US"/>
        </w:rPr>
        <w:t xml:space="preserve">1) Сложность объекта исследования. Например, правовая система, система источников гражданского права можно рассматривать как весьма крупные системные образования, не поддающиеся полноценному системному анализу. В этой связи для их исследования с системных позиций  возможны только частные приложения данного общенаучного подхода, применимого только к определенному кругу более конкретных задач; </w:t>
      </w:r>
    </w:p>
    <w:p w:rsidR="00B455D6" w:rsidRPr="005C4405" w:rsidRDefault="00B455D6" w:rsidP="005C4405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5C4405">
        <w:rPr>
          <w:sz w:val="28"/>
          <w:szCs w:val="28"/>
          <w:lang w:eastAsia="en-US"/>
        </w:rPr>
        <w:t xml:space="preserve">2) плодотворность системного анализа определяется прозрачностью внутренней структурных и иерархичных связей элементов рассматриваемой системы; </w:t>
      </w:r>
    </w:p>
    <w:p w:rsidR="00B455D6" w:rsidRPr="005C4405" w:rsidRDefault="00B455D6" w:rsidP="005C4405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5C4405">
        <w:rPr>
          <w:sz w:val="28"/>
          <w:szCs w:val="28"/>
          <w:lang w:eastAsia="en-US"/>
        </w:rPr>
        <w:t xml:space="preserve">3) описательный характер системного подхода. Такой методологический подход во многом обуславливает  расхождения между строго научным и идейно ориентированным анализом в цивилистической теории; </w:t>
      </w:r>
    </w:p>
    <w:p w:rsidR="00B455D6" w:rsidRPr="005C4405" w:rsidRDefault="00B455D6" w:rsidP="005C4405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5C4405">
        <w:rPr>
          <w:sz w:val="28"/>
          <w:szCs w:val="28"/>
          <w:lang w:eastAsia="en-US"/>
        </w:rPr>
        <w:t xml:space="preserve">4) системный подход более подходит для изучения органичных целостностных системных образований. Большинство же систем, исследуемых цивилистической наукой, не являются таковыми; </w:t>
      </w:r>
    </w:p>
    <w:p w:rsidR="00B455D6" w:rsidRPr="005C4405" w:rsidRDefault="00B455D6" w:rsidP="005C4405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5C4405">
        <w:rPr>
          <w:sz w:val="28"/>
          <w:szCs w:val="28"/>
          <w:lang w:eastAsia="en-US"/>
        </w:rPr>
        <w:t>5) в правовой сфере системы носят полуэмпирический</w:t>
      </w:r>
      <w:r>
        <w:rPr>
          <w:sz w:val="28"/>
          <w:szCs w:val="28"/>
          <w:lang w:eastAsia="en-US"/>
        </w:rPr>
        <w:t xml:space="preserve"> – </w:t>
      </w:r>
      <w:r w:rsidRPr="005C4405">
        <w:rPr>
          <w:sz w:val="28"/>
          <w:szCs w:val="28"/>
          <w:lang w:eastAsia="en-US"/>
        </w:rPr>
        <w:t xml:space="preserve">полуабстрактный характер; при этом эмпирическая составляющая относительна, а абстрактная – малосодержательна; </w:t>
      </w:r>
    </w:p>
    <w:p w:rsidR="00B455D6" w:rsidRPr="005C4405" w:rsidRDefault="00B455D6" w:rsidP="005C4405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5C4405">
        <w:rPr>
          <w:sz w:val="28"/>
          <w:szCs w:val="28"/>
          <w:lang w:eastAsia="en-US"/>
        </w:rPr>
        <w:t>6) существует реальная возможность подмены системного анализа многофакторным.</w:t>
      </w:r>
    </w:p>
    <w:p w:rsidR="00B455D6" w:rsidRPr="005C4405" w:rsidRDefault="00B455D6" w:rsidP="006C4C8C">
      <w:pPr>
        <w:pStyle w:val="10"/>
        <w:shd w:val="clear" w:color="auto" w:fill="auto"/>
        <w:spacing w:after="0" w:line="360" w:lineRule="auto"/>
        <w:ind w:left="20" w:right="20" w:firstLine="688"/>
        <w:jc w:val="both"/>
        <w:rPr>
          <w:sz w:val="28"/>
          <w:szCs w:val="28"/>
        </w:rPr>
      </w:pPr>
      <w:r w:rsidRPr="005C4405">
        <w:rPr>
          <w:sz w:val="28"/>
          <w:szCs w:val="28"/>
        </w:rPr>
        <w:t>В</w:t>
      </w:r>
      <w:r>
        <w:rPr>
          <w:sz w:val="28"/>
          <w:szCs w:val="28"/>
        </w:rPr>
        <w:t xml:space="preserve"> заключение отметим, что в современной научной методологии системный метод исследования является весьма действенным познавательным средством, поскольку позволяет </w:t>
      </w:r>
      <w:r w:rsidRPr="005C4405">
        <w:rPr>
          <w:sz w:val="28"/>
          <w:szCs w:val="28"/>
        </w:rPr>
        <w:t>объедин</w:t>
      </w:r>
      <w:r>
        <w:rPr>
          <w:sz w:val="28"/>
          <w:szCs w:val="28"/>
        </w:rPr>
        <w:t xml:space="preserve">ять в единую научную </w:t>
      </w:r>
      <w:r w:rsidRPr="005C4405">
        <w:rPr>
          <w:sz w:val="28"/>
          <w:szCs w:val="28"/>
        </w:rPr>
        <w:t xml:space="preserve">картину </w:t>
      </w:r>
      <w:r>
        <w:rPr>
          <w:sz w:val="28"/>
          <w:szCs w:val="28"/>
        </w:rPr>
        <w:t xml:space="preserve">знания, которые </w:t>
      </w:r>
      <w:r w:rsidRPr="005C4405">
        <w:rPr>
          <w:sz w:val="28"/>
          <w:szCs w:val="28"/>
        </w:rPr>
        <w:t>получен</w:t>
      </w:r>
      <w:r>
        <w:rPr>
          <w:sz w:val="28"/>
          <w:szCs w:val="28"/>
        </w:rPr>
        <w:t>ы</w:t>
      </w:r>
      <w:r w:rsidRPr="005C4405">
        <w:rPr>
          <w:sz w:val="28"/>
          <w:szCs w:val="28"/>
        </w:rPr>
        <w:t xml:space="preserve"> разными отраслями науки</w:t>
      </w:r>
      <w:r>
        <w:rPr>
          <w:sz w:val="28"/>
          <w:szCs w:val="28"/>
        </w:rPr>
        <w:t xml:space="preserve"> и путем применения </w:t>
      </w:r>
      <w:r w:rsidRPr="005C4405">
        <w:rPr>
          <w:sz w:val="28"/>
          <w:szCs w:val="28"/>
        </w:rPr>
        <w:t xml:space="preserve">различных </w:t>
      </w:r>
      <w:r>
        <w:rPr>
          <w:sz w:val="28"/>
          <w:szCs w:val="28"/>
        </w:rPr>
        <w:t xml:space="preserve">методологических </w:t>
      </w:r>
      <w:r w:rsidRPr="005C4405">
        <w:rPr>
          <w:sz w:val="28"/>
          <w:szCs w:val="28"/>
        </w:rPr>
        <w:t>подходов</w:t>
      </w:r>
      <w:r>
        <w:rPr>
          <w:sz w:val="28"/>
          <w:szCs w:val="28"/>
        </w:rPr>
        <w:t xml:space="preserve">. Системный метод помогает исследовать конкретный объект </w:t>
      </w:r>
      <w:r w:rsidRPr="005C4405">
        <w:rPr>
          <w:sz w:val="28"/>
          <w:szCs w:val="28"/>
        </w:rPr>
        <w:t xml:space="preserve">познания </w:t>
      </w:r>
      <w:r>
        <w:rPr>
          <w:sz w:val="28"/>
          <w:szCs w:val="28"/>
        </w:rPr>
        <w:t xml:space="preserve">комплексно, учитывая </w:t>
      </w:r>
      <w:r w:rsidRPr="005C4405">
        <w:rPr>
          <w:sz w:val="28"/>
          <w:szCs w:val="28"/>
        </w:rPr>
        <w:t>непосредственное обращение к объекту</w:t>
      </w:r>
      <w:r>
        <w:rPr>
          <w:sz w:val="28"/>
          <w:szCs w:val="28"/>
        </w:rPr>
        <w:t>, при этом происходит умножение</w:t>
      </w:r>
      <w:r w:rsidRPr="005C4405">
        <w:rPr>
          <w:sz w:val="28"/>
          <w:szCs w:val="28"/>
        </w:rPr>
        <w:t xml:space="preserve"> знаний, </w:t>
      </w:r>
      <w:r>
        <w:rPr>
          <w:sz w:val="28"/>
          <w:szCs w:val="28"/>
        </w:rPr>
        <w:t xml:space="preserve">которые получены из других отраслевых наук. В этой особенности и заключается значительный научный потенциал системного метода исследования в цивилистике. Используя этот общенаучный метод познания, возможно обнаружить общие </w:t>
      </w:r>
      <w:r w:rsidRPr="005C4405">
        <w:rPr>
          <w:sz w:val="28"/>
          <w:szCs w:val="28"/>
        </w:rPr>
        <w:t xml:space="preserve">свойства правовых явлений, которые </w:t>
      </w:r>
      <w:r>
        <w:rPr>
          <w:sz w:val="28"/>
          <w:szCs w:val="28"/>
        </w:rPr>
        <w:t xml:space="preserve">невозможно выявить, изучая правовое явления сквозь призму </w:t>
      </w:r>
      <w:r w:rsidRPr="005C4405">
        <w:rPr>
          <w:sz w:val="28"/>
          <w:szCs w:val="28"/>
        </w:rPr>
        <w:t>формально-логического анализа</w:t>
      </w:r>
      <w:r>
        <w:rPr>
          <w:sz w:val="28"/>
          <w:szCs w:val="28"/>
        </w:rPr>
        <w:t xml:space="preserve">. </w:t>
      </w:r>
    </w:p>
    <w:p w:rsidR="00B455D6" w:rsidRDefault="00B455D6" w:rsidP="00350280">
      <w:pPr>
        <w:rPr>
          <w:sz w:val="28"/>
          <w:szCs w:val="28"/>
        </w:rPr>
      </w:pPr>
    </w:p>
    <w:p w:rsidR="00B455D6" w:rsidRPr="00DD0ABC" w:rsidRDefault="00B455D6" w:rsidP="00131A53">
      <w:pPr>
        <w:tabs>
          <w:tab w:val="left" w:pos="900"/>
        </w:tabs>
        <w:ind w:firstLine="540"/>
        <w:jc w:val="center"/>
        <w:rPr>
          <w:b/>
        </w:rPr>
      </w:pPr>
      <w:r>
        <w:rPr>
          <w:b/>
        </w:rPr>
        <w:t>Список литературы</w:t>
      </w:r>
    </w:p>
    <w:p w:rsidR="00B455D6" w:rsidRPr="00DD0ABC" w:rsidRDefault="00B455D6" w:rsidP="00DD0ABC">
      <w:pPr>
        <w:tabs>
          <w:tab w:val="left" w:pos="900"/>
        </w:tabs>
        <w:ind w:firstLine="540"/>
      </w:pPr>
    </w:p>
    <w:p w:rsidR="00B455D6" w:rsidRPr="00DD0ABC" w:rsidRDefault="00B455D6" w:rsidP="00DD0ABC">
      <w:pPr>
        <w:pStyle w:val="EndnoteText"/>
        <w:numPr>
          <w:ilvl w:val="0"/>
          <w:numId w:val="7"/>
        </w:numPr>
        <w:tabs>
          <w:tab w:val="left" w:pos="900"/>
        </w:tabs>
        <w:ind w:left="0" w:firstLine="540"/>
        <w:jc w:val="both"/>
        <w:rPr>
          <w:sz w:val="24"/>
          <w:szCs w:val="24"/>
        </w:rPr>
      </w:pPr>
      <w:r w:rsidRPr="00DD0ABC">
        <w:rPr>
          <w:rFonts w:eastAsia="Times New Roman"/>
          <w:sz w:val="24"/>
          <w:szCs w:val="24"/>
          <w:lang w:eastAsia="en-US"/>
        </w:rPr>
        <w:t>Юдин Э.Г. Методология науки. Системность. Деятельность. – М., 1997. – С. 65-68.</w:t>
      </w:r>
    </w:p>
    <w:p w:rsidR="00B455D6" w:rsidRPr="00DD0ABC" w:rsidRDefault="00B455D6" w:rsidP="00DD0ABC">
      <w:pPr>
        <w:pStyle w:val="EndnoteText"/>
        <w:numPr>
          <w:ilvl w:val="0"/>
          <w:numId w:val="7"/>
        </w:numPr>
        <w:tabs>
          <w:tab w:val="left" w:pos="900"/>
        </w:tabs>
        <w:ind w:left="0" w:firstLine="540"/>
        <w:jc w:val="both"/>
        <w:rPr>
          <w:sz w:val="24"/>
          <w:szCs w:val="24"/>
        </w:rPr>
      </w:pPr>
      <w:r w:rsidRPr="00DD0ABC">
        <w:rPr>
          <w:rFonts w:eastAsia="Times New Roman"/>
          <w:sz w:val="24"/>
          <w:szCs w:val="24"/>
          <w:lang w:eastAsia="en-US"/>
        </w:rPr>
        <w:t>Парсонс Т. О структуре социального действия. – М., 2002. – С. 69.</w:t>
      </w:r>
    </w:p>
    <w:p w:rsidR="00B455D6" w:rsidRPr="00DD0ABC" w:rsidRDefault="00B455D6" w:rsidP="00DD0ABC">
      <w:pPr>
        <w:pStyle w:val="EndnoteText"/>
        <w:numPr>
          <w:ilvl w:val="0"/>
          <w:numId w:val="7"/>
        </w:numPr>
        <w:tabs>
          <w:tab w:val="left" w:pos="900"/>
        </w:tabs>
        <w:ind w:left="0" w:firstLine="540"/>
        <w:jc w:val="both"/>
        <w:rPr>
          <w:sz w:val="24"/>
          <w:szCs w:val="24"/>
        </w:rPr>
      </w:pPr>
      <w:r w:rsidRPr="00DD0ABC">
        <w:rPr>
          <w:rFonts w:eastAsia="Times New Roman"/>
          <w:sz w:val="24"/>
          <w:szCs w:val="24"/>
          <w:lang w:eastAsia="en-US"/>
        </w:rPr>
        <w:t>Новиков А.М., Новиков Д.А. Методология. – М., 2007. – С. 11, 254.</w:t>
      </w:r>
    </w:p>
    <w:p w:rsidR="00B455D6" w:rsidRPr="00DD0ABC" w:rsidRDefault="00B455D6" w:rsidP="00DD0ABC">
      <w:pPr>
        <w:pStyle w:val="EndnoteText"/>
        <w:numPr>
          <w:ilvl w:val="0"/>
          <w:numId w:val="7"/>
        </w:numPr>
        <w:tabs>
          <w:tab w:val="left" w:pos="900"/>
        </w:tabs>
        <w:ind w:left="0" w:firstLine="540"/>
        <w:jc w:val="both"/>
        <w:rPr>
          <w:sz w:val="24"/>
          <w:szCs w:val="24"/>
        </w:rPr>
      </w:pPr>
      <w:r w:rsidRPr="00DD0ABC">
        <w:rPr>
          <w:rFonts w:eastAsia="Times New Roman"/>
          <w:sz w:val="24"/>
          <w:szCs w:val="24"/>
          <w:lang w:eastAsia="en-US"/>
        </w:rPr>
        <w:t xml:space="preserve">Добреньков В.И., Кравченко А.И. Методология и методика </w:t>
      </w:r>
      <w:r>
        <w:rPr>
          <w:rFonts w:eastAsia="Times New Roman"/>
          <w:sz w:val="24"/>
          <w:szCs w:val="24"/>
          <w:lang w:eastAsia="en-US"/>
        </w:rPr>
        <w:t>с</w:t>
      </w:r>
      <w:r w:rsidRPr="00DD0ABC">
        <w:rPr>
          <w:rFonts w:eastAsia="Times New Roman"/>
          <w:sz w:val="24"/>
          <w:szCs w:val="24"/>
          <w:lang w:eastAsia="en-US"/>
        </w:rPr>
        <w:t>оциологического исследования. – М., 2009. – С. 21.</w:t>
      </w:r>
    </w:p>
    <w:p w:rsidR="00B455D6" w:rsidRPr="00DD0ABC" w:rsidRDefault="00B455D6" w:rsidP="00DD0ABC">
      <w:pPr>
        <w:pStyle w:val="EndnoteText"/>
        <w:numPr>
          <w:ilvl w:val="0"/>
          <w:numId w:val="7"/>
        </w:numPr>
        <w:tabs>
          <w:tab w:val="left" w:pos="900"/>
        </w:tabs>
        <w:ind w:left="0" w:firstLine="540"/>
        <w:jc w:val="both"/>
        <w:rPr>
          <w:sz w:val="24"/>
          <w:szCs w:val="24"/>
        </w:rPr>
      </w:pPr>
      <w:r w:rsidRPr="00DD0ABC">
        <w:rPr>
          <w:rFonts w:eastAsia="Times New Roman"/>
          <w:sz w:val="24"/>
          <w:szCs w:val="24"/>
          <w:lang w:eastAsia="en-US"/>
        </w:rPr>
        <w:t>Яскевич Я.С. Методология и этика в современной науке: поиск открытой рациональности. – Минск, 2007. – С. 14.</w:t>
      </w:r>
    </w:p>
    <w:p w:rsidR="00B455D6" w:rsidRPr="00DD0ABC" w:rsidRDefault="00B455D6" w:rsidP="00DD0ABC">
      <w:pPr>
        <w:pStyle w:val="EndnoteText"/>
        <w:numPr>
          <w:ilvl w:val="0"/>
          <w:numId w:val="7"/>
        </w:numPr>
        <w:tabs>
          <w:tab w:val="left" w:pos="900"/>
        </w:tabs>
        <w:ind w:left="0" w:firstLine="540"/>
        <w:jc w:val="both"/>
        <w:rPr>
          <w:rFonts w:eastAsia="Times New Roman"/>
          <w:sz w:val="24"/>
          <w:szCs w:val="24"/>
          <w:lang w:eastAsia="en-US"/>
        </w:rPr>
      </w:pPr>
      <w:r w:rsidRPr="00DD0ABC">
        <w:rPr>
          <w:rFonts w:eastAsia="Times New Roman"/>
          <w:sz w:val="24"/>
          <w:szCs w:val="24"/>
          <w:lang w:eastAsia="en-US"/>
        </w:rPr>
        <w:t>Андреева Г.М. Социальная психология. – М.: Изд-во МГУ, 1980. – С. 54</w:t>
      </w:r>
      <w:r>
        <w:rPr>
          <w:rFonts w:eastAsia="Times New Roman"/>
          <w:sz w:val="24"/>
          <w:szCs w:val="24"/>
          <w:lang w:eastAsia="en-US"/>
        </w:rPr>
        <w:t>–</w:t>
      </w:r>
      <w:r w:rsidRPr="00DD0ABC">
        <w:rPr>
          <w:rFonts w:eastAsia="Times New Roman"/>
          <w:sz w:val="24"/>
          <w:szCs w:val="24"/>
          <w:lang w:eastAsia="en-US"/>
        </w:rPr>
        <w:t>56.</w:t>
      </w:r>
    </w:p>
    <w:p w:rsidR="00B455D6" w:rsidRPr="00DD0ABC" w:rsidRDefault="00B455D6" w:rsidP="00DD0ABC">
      <w:pPr>
        <w:pStyle w:val="EndnoteText"/>
        <w:numPr>
          <w:ilvl w:val="0"/>
          <w:numId w:val="7"/>
        </w:numPr>
        <w:tabs>
          <w:tab w:val="left" w:pos="900"/>
        </w:tabs>
        <w:ind w:left="0" w:firstLine="540"/>
        <w:jc w:val="both"/>
        <w:rPr>
          <w:sz w:val="24"/>
          <w:szCs w:val="24"/>
        </w:rPr>
      </w:pPr>
      <w:r w:rsidRPr="00DD0ABC">
        <w:rPr>
          <w:rFonts w:eastAsia="Times New Roman"/>
          <w:sz w:val="24"/>
          <w:szCs w:val="24"/>
          <w:lang w:eastAsia="en-US"/>
        </w:rPr>
        <w:t>Добреньков В.И., Осипова Н.Г. Методология и методы научной работы. – М., 2009. – С. 56.</w:t>
      </w:r>
    </w:p>
    <w:p w:rsidR="00B455D6" w:rsidRPr="00DD0ABC" w:rsidRDefault="00B455D6" w:rsidP="00DD0ABC">
      <w:pPr>
        <w:pStyle w:val="ListParagraph"/>
        <w:numPr>
          <w:ilvl w:val="0"/>
          <w:numId w:val="7"/>
        </w:numPr>
        <w:tabs>
          <w:tab w:val="left" w:pos="900"/>
        </w:tabs>
        <w:snapToGrid w:val="0"/>
        <w:ind w:left="0" w:firstLine="540"/>
        <w:jc w:val="both"/>
        <w:rPr>
          <w:rFonts w:eastAsia="Times New Roman"/>
          <w:lang w:eastAsia="en-US"/>
        </w:rPr>
      </w:pPr>
      <w:r w:rsidRPr="00DD0ABC">
        <w:rPr>
          <w:rFonts w:eastAsia="Times New Roman"/>
          <w:lang w:eastAsia="en-US"/>
        </w:rPr>
        <w:t>Вышинский А.Я. Некоторые вопросы науки советского права // Советское государство и право. – 1953. – № 4. – С. 24.</w:t>
      </w:r>
    </w:p>
    <w:p w:rsidR="00B455D6" w:rsidRPr="00DD0ABC" w:rsidRDefault="00B455D6" w:rsidP="00DD0ABC">
      <w:pPr>
        <w:pStyle w:val="ListParagraph"/>
        <w:numPr>
          <w:ilvl w:val="0"/>
          <w:numId w:val="7"/>
        </w:numPr>
        <w:tabs>
          <w:tab w:val="left" w:pos="900"/>
        </w:tabs>
        <w:snapToGrid w:val="0"/>
        <w:ind w:left="0" w:firstLine="540"/>
        <w:jc w:val="both"/>
        <w:rPr>
          <w:rFonts w:eastAsia="Times New Roman"/>
          <w:lang w:eastAsia="en-US"/>
        </w:rPr>
      </w:pPr>
      <w:r w:rsidRPr="00DD0ABC">
        <w:t>Челышев М.Ю. Основы учения о межотраслевых связях гражданского права. Монография / Науч. ред. Б.М. Гонгало – Казань: Изд-во Казан. гос. ун-та, 2008. – С. 9</w:t>
      </w:r>
      <w:r>
        <w:t>–</w:t>
      </w:r>
      <w:r w:rsidRPr="00DD0ABC">
        <w:t>21.</w:t>
      </w:r>
    </w:p>
    <w:p w:rsidR="00B455D6" w:rsidRPr="00DD0ABC" w:rsidRDefault="00B455D6" w:rsidP="00DD0ABC">
      <w:pPr>
        <w:pStyle w:val="12"/>
        <w:keepNext/>
        <w:keepLines/>
        <w:numPr>
          <w:ilvl w:val="0"/>
          <w:numId w:val="7"/>
        </w:numPr>
        <w:shd w:val="clear" w:color="auto" w:fill="auto"/>
        <w:tabs>
          <w:tab w:val="left" w:pos="900"/>
        </w:tabs>
        <w:spacing w:before="0" w:after="0" w:line="240" w:lineRule="auto"/>
        <w:ind w:left="0" w:firstLine="540"/>
        <w:jc w:val="both"/>
        <w:rPr>
          <w:b w:val="0"/>
          <w:sz w:val="24"/>
          <w:szCs w:val="24"/>
        </w:rPr>
      </w:pPr>
      <w:r w:rsidRPr="00DD0ABC">
        <w:rPr>
          <w:b w:val="0"/>
          <w:sz w:val="24"/>
          <w:szCs w:val="24"/>
        </w:rPr>
        <w:t xml:space="preserve">Филиппова  С.Ю. Инструментальный подход в науке частного права: Дисс. … докт. юрид. наук. – М., 2013. – С. 58. </w:t>
      </w:r>
    </w:p>
    <w:p w:rsidR="00B455D6" w:rsidRPr="00DD0ABC" w:rsidRDefault="00B455D6" w:rsidP="00DD0ABC">
      <w:pPr>
        <w:pStyle w:val="ListParagraph"/>
        <w:numPr>
          <w:ilvl w:val="0"/>
          <w:numId w:val="7"/>
        </w:numPr>
        <w:tabs>
          <w:tab w:val="left" w:pos="900"/>
        </w:tabs>
        <w:ind w:left="0" w:firstLine="540"/>
        <w:jc w:val="both"/>
      </w:pPr>
      <w:r w:rsidRPr="00DD0ABC">
        <w:t>Аверьянов А. Н. Системное познание мира. Методологические проблемы. – М.: Политиздат, 1985. – С. 31.</w:t>
      </w:r>
    </w:p>
    <w:p w:rsidR="00B455D6" w:rsidRPr="00DD0ABC" w:rsidRDefault="00B455D6" w:rsidP="00DD0ABC">
      <w:pPr>
        <w:pStyle w:val="ListParagraph"/>
        <w:numPr>
          <w:ilvl w:val="0"/>
          <w:numId w:val="7"/>
        </w:numPr>
        <w:tabs>
          <w:tab w:val="left" w:pos="900"/>
        </w:tabs>
        <w:ind w:left="0" w:firstLine="540"/>
        <w:jc w:val="both"/>
      </w:pPr>
      <w:r w:rsidRPr="00DD0ABC">
        <w:t>Свидерский В.И., Зобов Р.А. Новые философские аспекты  элементарно-структурных отношений. – Л.: ЛГУ, 1970. – С. 49.</w:t>
      </w:r>
    </w:p>
    <w:p w:rsidR="00B455D6" w:rsidRDefault="00B455D6" w:rsidP="00DD0ABC">
      <w:pPr>
        <w:tabs>
          <w:tab w:val="left" w:pos="900"/>
        </w:tabs>
        <w:ind w:firstLine="540"/>
        <w:jc w:val="both"/>
      </w:pPr>
    </w:p>
    <w:p w:rsidR="00B455D6" w:rsidRDefault="00B455D6" w:rsidP="00DD0ABC">
      <w:pPr>
        <w:tabs>
          <w:tab w:val="left" w:pos="900"/>
        </w:tabs>
        <w:ind w:firstLine="540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:rsidR="00B455D6" w:rsidRPr="009D5029" w:rsidRDefault="00B455D6" w:rsidP="00DD0ABC">
      <w:pPr>
        <w:tabs>
          <w:tab w:val="left" w:pos="900"/>
        </w:tabs>
        <w:ind w:firstLine="540"/>
        <w:jc w:val="both"/>
        <w:rPr>
          <w:b/>
          <w:szCs w:val="28"/>
          <w:lang w:val="en-US"/>
        </w:rPr>
      </w:pPr>
    </w:p>
    <w:p w:rsidR="00B455D6" w:rsidRPr="00DD0ABC" w:rsidRDefault="00B455D6" w:rsidP="00DD0ABC">
      <w:pPr>
        <w:tabs>
          <w:tab w:val="left" w:pos="900"/>
        </w:tabs>
        <w:ind w:firstLine="540"/>
        <w:jc w:val="both"/>
        <w:rPr>
          <w:lang w:val="en-US"/>
        </w:rPr>
      </w:pPr>
      <w:r w:rsidRPr="00DD0ABC">
        <w:rPr>
          <w:lang w:val="en-US"/>
        </w:rPr>
        <w:t>1.</w:t>
      </w:r>
      <w:r w:rsidRPr="00DD0ABC">
        <w:rPr>
          <w:lang w:val="en-US"/>
        </w:rPr>
        <w:tab/>
        <w:t>Judin Je.G. Metodologija nauki. Sistemnost'. Dejatel'nost'. – M., 1997. – S. 65-68.</w:t>
      </w:r>
    </w:p>
    <w:p w:rsidR="00B455D6" w:rsidRPr="00DD0ABC" w:rsidRDefault="00B455D6" w:rsidP="00DD0ABC">
      <w:pPr>
        <w:tabs>
          <w:tab w:val="left" w:pos="900"/>
        </w:tabs>
        <w:ind w:firstLine="540"/>
        <w:jc w:val="both"/>
        <w:rPr>
          <w:lang w:val="en-US"/>
        </w:rPr>
      </w:pPr>
      <w:r w:rsidRPr="00DD0ABC">
        <w:rPr>
          <w:lang w:val="en-US"/>
        </w:rPr>
        <w:t>2.</w:t>
      </w:r>
      <w:r w:rsidRPr="00DD0ABC">
        <w:rPr>
          <w:lang w:val="en-US"/>
        </w:rPr>
        <w:tab/>
        <w:t>Parsons T. O strukture social'nogo dejstvija. – M., 2002. – S. 69.</w:t>
      </w:r>
    </w:p>
    <w:p w:rsidR="00B455D6" w:rsidRPr="00DD0ABC" w:rsidRDefault="00B455D6" w:rsidP="00DD0ABC">
      <w:pPr>
        <w:tabs>
          <w:tab w:val="left" w:pos="900"/>
        </w:tabs>
        <w:ind w:firstLine="540"/>
        <w:jc w:val="both"/>
        <w:rPr>
          <w:lang w:val="en-US"/>
        </w:rPr>
      </w:pPr>
      <w:r w:rsidRPr="00DD0ABC">
        <w:rPr>
          <w:lang w:val="en-US"/>
        </w:rPr>
        <w:t>3.</w:t>
      </w:r>
      <w:r w:rsidRPr="00DD0ABC">
        <w:rPr>
          <w:lang w:val="en-US"/>
        </w:rPr>
        <w:tab/>
        <w:t>Novikov A.M., Novikov D.A. Metodologija. – M., 2007. – S. 11, 254.</w:t>
      </w:r>
    </w:p>
    <w:p w:rsidR="00B455D6" w:rsidRPr="00DD0ABC" w:rsidRDefault="00B455D6" w:rsidP="00DD0ABC">
      <w:pPr>
        <w:tabs>
          <w:tab w:val="left" w:pos="900"/>
        </w:tabs>
        <w:ind w:firstLine="540"/>
        <w:jc w:val="both"/>
        <w:rPr>
          <w:lang w:val="en-US"/>
        </w:rPr>
      </w:pPr>
      <w:r w:rsidRPr="00DD0ABC">
        <w:rPr>
          <w:lang w:val="en-US"/>
        </w:rPr>
        <w:t>4.</w:t>
      </w:r>
      <w:r w:rsidRPr="00DD0ABC">
        <w:rPr>
          <w:lang w:val="en-US"/>
        </w:rPr>
        <w:tab/>
        <w:t>Dobren'kov V.I., Kravchenko A.I. Metodologija i metodika cociologicheskogo issledovanija. – M., 2009. – S. 21.</w:t>
      </w:r>
    </w:p>
    <w:p w:rsidR="00B455D6" w:rsidRPr="00DD0ABC" w:rsidRDefault="00B455D6" w:rsidP="00DD0ABC">
      <w:pPr>
        <w:tabs>
          <w:tab w:val="left" w:pos="900"/>
        </w:tabs>
        <w:ind w:firstLine="540"/>
        <w:jc w:val="both"/>
        <w:rPr>
          <w:lang w:val="en-US"/>
        </w:rPr>
      </w:pPr>
      <w:r w:rsidRPr="00DD0ABC">
        <w:rPr>
          <w:lang w:val="en-US"/>
        </w:rPr>
        <w:t>5.</w:t>
      </w:r>
      <w:r w:rsidRPr="00DD0ABC">
        <w:rPr>
          <w:lang w:val="en-US"/>
        </w:rPr>
        <w:tab/>
        <w:t>Jaskevich Ja.S. Metodologija i jetika v sovremennoj nauke: poisk otkrytoj racional'nosti. – Minsk, 2007. – S. 14.</w:t>
      </w:r>
    </w:p>
    <w:p w:rsidR="00B455D6" w:rsidRPr="00DD0ABC" w:rsidRDefault="00B455D6" w:rsidP="00DD0ABC">
      <w:pPr>
        <w:tabs>
          <w:tab w:val="left" w:pos="900"/>
        </w:tabs>
        <w:ind w:firstLine="540"/>
        <w:jc w:val="both"/>
        <w:rPr>
          <w:lang w:val="en-US"/>
        </w:rPr>
      </w:pPr>
      <w:r w:rsidRPr="00DD0ABC">
        <w:rPr>
          <w:lang w:val="en-US"/>
        </w:rPr>
        <w:t>6.</w:t>
      </w:r>
      <w:r w:rsidRPr="00DD0ABC">
        <w:rPr>
          <w:lang w:val="en-US"/>
        </w:rPr>
        <w:tab/>
        <w:t>Andreeva G.M. Social'naja psihologija. – M.: Izd-vo MGU, 1980. – S. 54-56.</w:t>
      </w:r>
    </w:p>
    <w:p w:rsidR="00B455D6" w:rsidRPr="00DD0ABC" w:rsidRDefault="00B455D6" w:rsidP="00DD0ABC">
      <w:pPr>
        <w:tabs>
          <w:tab w:val="left" w:pos="900"/>
        </w:tabs>
        <w:ind w:firstLine="540"/>
        <w:jc w:val="both"/>
        <w:rPr>
          <w:lang w:val="en-US"/>
        </w:rPr>
      </w:pPr>
      <w:r w:rsidRPr="00DD0ABC">
        <w:rPr>
          <w:lang w:val="en-US"/>
        </w:rPr>
        <w:t>7.</w:t>
      </w:r>
      <w:r w:rsidRPr="00DD0ABC">
        <w:rPr>
          <w:lang w:val="en-US"/>
        </w:rPr>
        <w:tab/>
        <w:t>Dobren'kov V.I., Osipova N.G. Metodologija i metody nauchnoj raboty. – M., 2009. – S. 56.</w:t>
      </w:r>
    </w:p>
    <w:p w:rsidR="00B455D6" w:rsidRPr="00DD0ABC" w:rsidRDefault="00B455D6" w:rsidP="00DD0ABC">
      <w:pPr>
        <w:tabs>
          <w:tab w:val="left" w:pos="900"/>
        </w:tabs>
        <w:ind w:firstLine="540"/>
        <w:jc w:val="both"/>
        <w:rPr>
          <w:lang w:val="en-US"/>
        </w:rPr>
      </w:pPr>
      <w:r w:rsidRPr="00DD0ABC">
        <w:rPr>
          <w:lang w:val="en-US"/>
        </w:rPr>
        <w:t>8.</w:t>
      </w:r>
      <w:r w:rsidRPr="00DD0ABC">
        <w:rPr>
          <w:lang w:val="en-US"/>
        </w:rPr>
        <w:tab/>
        <w:t>Vyshinskij A.Ja. Nekotorye voprosy nauki sovetskogo prava // Sovetskoe gosudarstvo i pravo. – 1953. – № 4. – S. 24.</w:t>
      </w:r>
    </w:p>
    <w:p w:rsidR="00B455D6" w:rsidRPr="00DD0ABC" w:rsidRDefault="00B455D6" w:rsidP="00DD0ABC">
      <w:pPr>
        <w:tabs>
          <w:tab w:val="left" w:pos="900"/>
        </w:tabs>
        <w:ind w:firstLine="540"/>
        <w:jc w:val="both"/>
        <w:rPr>
          <w:lang w:val="en-US"/>
        </w:rPr>
      </w:pPr>
      <w:r w:rsidRPr="00DD0ABC">
        <w:rPr>
          <w:lang w:val="en-US"/>
        </w:rPr>
        <w:t>9.</w:t>
      </w:r>
      <w:r w:rsidRPr="00DD0ABC">
        <w:rPr>
          <w:lang w:val="en-US"/>
        </w:rPr>
        <w:tab/>
        <w:t>Chelyshev M.Ju. Osnovy uchenija o mezhotraslevyh svjazjah grazhdanskogo prava. Monografija / Nauch. red.: Gongalo B.M. – Kazan': Izd-vo Kazan. gos. un-ta, 2008. – S. 9-21.</w:t>
      </w:r>
    </w:p>
    <w:p w:rsidR="00B455D6" w:rsidRPr="00DD0ABC" w:rsidRDefault="00B455D6" w:rsidP="00DD0ABC">
      <w:pPr>
        <w:tabs>
          <w:tab w:val="left" w:pos="900"/>
        </w:tabs>
        <w:ind w:firstLine="540"/>
        <w:jc w:val="both"/>
        <w:rPr>
          <w:lang w:val="en-US"/>
        </w:rPr>
      </w:pPr>
      <w:r w:rsidRPr="00DD0ABC">
        <w:rPr>
          <w:lang w:val="en-US"/>
        </w:rPr>
        <w:t>10.</w:t>
      </w:r>
      <w:r w:rsidRPr="00DD0ABC">
        <w:rPr>
          <w:lang w:val="en-US"/>
        </w:rPr>
        <w:tab/>
        <w:t xml:space="preserve">Filippova  S.Ju. Instrumental'nyj podhod v nauke chastnogo prava: Diss. … dokt. jurid. nauk. – M., 2013. – S. 58. </w:t>
      </w:r>
    </w:p>
    <w:p w:rsidR="00B455D6" w:rsidRPr="00DD0ABC" w:rsidRDefault="00B455D6" w:rsidP="00DD0ABC">
      <w:pPr>
        <w:tabs>
          <w:tab w:val="left" w:pos="900"/>
        </w:tabs>
        <w:ind w:firstLine="540"/>
        <w:jc w:val="both"/>
        <w:rPr>
          <w:lang w:val="en-US"/>
        </w:rPr>
      </w:pPr>
      <w:r w:rsidRPr="00DD0ABC">
        <w:rPr>
          <w:lang w:val="en-US"/>
        </w:rPr>
        <w:t>11.</w:t>
      </w:r>
      <w:r w:rsidRPr="00DD0ABC">
        <w:rPr>
          <w:lang w:val="en-US"/>
        </w:rPr>
        <w:tab/>
        <w:t>Aver'janov A. N. Sistemnoe poznanie mira. Metodologicheskie problemy. – M.: Politizdat, 1985. – S. 31.</w:t>
      </w:r>
    </w:p>
    <w:p w:rsidR="00B455D6" w:rsidRPr="00DD0ABC" w:rsidRDefault="00B455D6" w:rsidP="00DD0ABC">
      <w:pPr>
        <w:tabs>
          <w:tab w:val="left" w:pos="900"/>
        </w:tabs>
        <w:ind w:firstLine="540"/>
        <w:jc w:val="both"/>
        <w:rPr>
          <w:lang w:val="en-US"/>
        </w:rPr>
      </w:pPr>
      <w:r w:rsidRPr="00DD0ABC">
        <w:rPr>
          <w:lang w:val="en-US"/>
        </w:rPr>
        <w:t>12.</w:t>
      </w:r>
      <w:r w:rsidRPr="00DD0ABC">
        <w:rPr>
          <w:lang w:val="en-US"/>
        </w:rPr>
        <w:tab/>
        <w:t>Sviderskij V.I., Zobov R.A. Novye filosofskie aspekty  jelementarno- strukturnyh otnoshenij. – L. : LGU, 1970. – S. 49.</w:t>
      </w:r>
    </w:p>
    <w:sectPr w:rsidR="00B455D6" w:rsidRPr="00DD0ABC" w:rsidSect="007C3B4C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5D6" w:rsidRDefault="00B455D6" w:rsidP="007D5972">
      <w:r>
        <w:separator/>
      </w:r>
    </w:p>
  </w:endnote>
  <w:endnote w:type="continuationSeparator" w:id="1">
    <w:p w:rsidR="00B455D6" w:rsidRDefault="00B455D6" w:rsidP="007D5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5D6" w:rsidRDefault="00B455D6">
    <w:pPr>
      <w:pStyle w:val="Footer"/>
    </w:pPr>
    <w:r w:rsidRPr="008907F7">
      <w:t>http://ej.kubagro.ru/201</w:t>
    </w:r>
    <w:r w:rsidRPr="008907F7">
      <w:rPr>
        <w:lang w:val="en-US"/>
      </w:rPr>
      <w:t>4</w:t>
    </w:r>
    <w:r w:rsidRPr="008907F7">
      <w:t>/</w:t>
    </w:r>
    <w:r w:rsidRPr="008907F7">
      <w:rPr>
        <w:lang w:val="en-US"/>
      </w:rPr>
      <w:t>0</w:t>
    </w:r>
    <w:r>
      <w:rPr>
        <w:lang w:val="en-US"/>
      </w:rPr>
      <w:t>7</w:t>
    </w:r>
    <w:r w:rsidRPr="008907F7">
      <w:t>/pdf/</w:t>
    </w:r>
    <w:r>
      <w:rPr>
        <w:lang w:val="en-US"/>
      </w:rPr>
      <w:t>9</w:t>
    </w:r>
    <w:r>
      <w:t>3</w:t>
    </w:r>
    <w:r w:rsidRPr="008907F7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5D6" w:rsidRDefault="00B455D6" w:rsidP="007D5972">
      <w:r>
        <w:separator/>
      </w:r>
    </w:p>
  </w:footnote>
  <w:footnote w:type="continuationSeparator" w:id="1">
    <w:p w:rsidR="00B455D6" w:rsidRDefault="00B455D6" w:rsidP="007D59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5D6" w:rsidRDefault="00B455D6" w:rsidP="00125CC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55D6" w:rsidRDefault="00B455D6" w:rsidP="001544C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5D6" w:rsidRPr="001544C8" w:rsidRDefault="00B455D6" w:rsidP="00125CC1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1544C8">
      <w:rPr>
        <w:rStyle w:val="PageNumber"/>
        <w:sz w:val="28"/>
        <w:szCs w:val="28"/>
      </w:rPr>
      <w:fldChar w:fldCharType="begin"/>
    </w:r>
    <w:r w:rsidRPr="001544C8">
      <w:rPr>
        <w:rStyle w:val="PageNumber"/>
        <w:sz w:val="28"/>
        <w:szCs w:val="28"/>
      </w:rPr>
      <w:instrText xml:space="preserve">PAGE  </w:instrText>
    </w:r>
    <w:r w:rsidRPr="001544C8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11</w:t>
    </w:r>
    <w:r w:rsidRPr="001544C8">
      <w:rPr>
        <w:rStyle w:val="PageNumber"/>
        <w:sz w:val="28"/>
        <w:szCs w:val="28"/>
      </w:rPr>
      <w:fldChar w:fldCharType="end"/>
    </w:r>
  </w:p>
  <w:p w:rsidR="00B455D6" w:rsidRDefault="00B455D6" w:rsidP="001544C8">
    <w:pPr>
      <w:pStyle w:val="Header"/>
      <w:ind w:right="360"/>
    </w:pPr>
    <w:r w:rsidRPr="00FF55FC">
      <w:t>Научный журнал КубГАУ, №</w:t>
    </w:r>
    <w:r w:rsidRPr="00FF55FC">
      <w:rPr>
        <w:lang w:val="en-US"/>
      </w:rPr>
      <w:t>10</w:t>
    </w:r>
    <w:r>
      <w:rPr>
        <w:lang w:val="en-US"/>
      </w:rPr>
      <w:t>1</w:t>
    </w:r>
    <w:r w:rsidRPr="00FF55FC">
      <w:t>(</w:t>
    </w:r>
    <w:r w:rsidRPr="00FF55FC">
      <w:rPr>
        <w:lang w:val="en-US"/>
      </w:rPr>
      <w:t>0</w:t>
    </w:r>
    <w:r>
      <w:rPr>
        <w:lang w:val="en-US"/>
      </w:rPr>
      <w:t>7</w:t>
    </w:r>
    <w:r w:rsidRPr="00FF55FC">
      <w:t>), 201</w:t>
    </w:r>
    <w:r w:rsidRPr="00FF55FC">
      <w:rPr>
        <w:lang w:val="en-US"/>
      </w:rPr>
      <w:t>4</w:t>
    </w:r>
    <w:r w:rsidRPr="00FF55FC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23C56C3"/>
    <w:multiLevelType w:val="hybridMultilevel"/>
    <w:tmpl w:val="A28C49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92374B"/>
    <w:multiLevelType w:val="hybridMultilevel"/>
    <w:tmpl w:val="F2A675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D87F08"/>
    <w:multiLevelType w:val="hybridMultilevel"/>
    <w:tmpl w:val="330EF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986AE4"/>
    <w:multiLevelType w:val="hybridMultilevel"/>
    <w:tmpl w:val="09F42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CE01A9"/>
    <w:multiLevelType w:val="hybridMultilevel"/>
    <w:tmpl w:val="C11CEF5C"/>
    <w:lvl w:ilvl="0" w:tplc="BD6AFB5C">
      <w:start w:val="1"/>
      <w:numFmt w:val="decimal"/>
      <w:lvlText w:val="%1."/>
      <w:lvlJc w:val="left"/>
      <w:pPr>
        <w:ind w:left="1068" w:hanging="708"/>
      </w:pPr>
      <w:rPr>
        <w:rFonts w:eastAsia="MS Minngs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A0631B"/>
    <w:multiLevelType w:val="hybridMultilevel"/>
    <w:tmpl w:val="C4047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972"/>
    <w:rsid w:val="00001D2C"/>
    <w:rsid w:val="00011487"/>
    <w:rsid w:val="00014A80"/>
    <w:rsid w:val="00020425"/>
    <w:rsid w:val="0002699D"/>
    <w:rsid w:val="00026DD4"/>
    <w:rsid w:val="00033BC3"/>
    <w:rsid w:val="000361C3"/>
    <w:rsid w:val="00056D3F"/>
    <w:rsid w:val="0007613B"/>
    <w:rsid w:val="00085604"/>
    <w:rsid w:val="00092633"/>
    <w:rsid w:val="00094FD4"/>
    <w:rsid w:val="000A07CF"/>
    <w:rsid w:val="000A52D9"/>
    <w:rsid w:val="000A5FC4"/>
    <w:rsid w:val="000A7981"/>
    <w:rsid w:val="000C0382"/>
    <w:rsid w:val="000D412F"/>
    <w:rsid w:val="000D54BF"/>
    <w:rsid w:val="000D6DBF"/>
    <w:rsid w:val="000F2AC2"/>
    <w:rsid w:val="00121EBB"/>
    <w:rsid w:val="00123CAE"/>
    <w:rsid w:val="001256DD"/>
    <w:rsid w:val="00125CC1"/>
    <w:rsid w:val="00131A53"/>
    <w:rsid w:val="00133E16"/>
    <w:rsid w:val="00135CA3"/>
    <w:rsid w:val="001544C8"/>
    <w:rsid w:val="00157149"/>
    <w:rsid w:val="00167139"/>
    <w:rsid w:val="00167650"/>
    <w:rsid w:val="0018681C"/>
    <w:rsid w:val="001B3CD4"/>
    <w:rsid w:val="001C22B9"/>
    <w:rsid w:val="001C6F07"/>
    <w:rsid w:val="001D346E"/>
    <w:rsid w:val="001D3E74"/>
    <w:rsid w:val="00217375"/>
    <w:rsid w:val="0022310F"/>
    <w:rsid w:val="00231EC4"/>
    <w:rsid w:val="00235B58"/>
    <w:rsid w:val="00245627"/>
    <w:rsid w:val="002475F5"/>
    <w:rsid w:val="00253D61"/>
    <w:rsid w:val="00262B68"/>
    <w:rsid w:val="002642E4"/>
    <w:rsid w:val="002658C9"/>
    <w:rsid w:val="00265A34"/>
    <w:rsid w:val="0026728E"/>
    <w:rsid w:val="0029321F"/>
    <w:rsid w:val="0029408A"/>
    <w:rsid w:val="002A32AB"/>
    <w:rsid w:val="002B5ACF"/>
    <w:rsid w:val="002E605C"/>
    <w:rsid w:val="002F047B"/>
    <w:rsid w:val="002F1A0F"/>
    <w:rsid w:val="002F780D"/>
    <w:rsid w:val="003035D7"/>
    <w:rsid w:val="003041A9"/>
    <w:rsid w:val="003055B9"/>
    <w:rsid w:val="00305F75"/>
    <w:rsid w:val="003117DA"/>
    <w:rsid w:val="00316282"/>
    <w:rsid w:val="00316BB3"/>
    <w:rsid w:val="00317718"/>
    <w:rsid w:val="00322497"/>
    <w:rsid w:val="00326E2E"/>
    <w:rsid w:val="00350280"/>
    <w:rsid w:val="003546DE"/>
    <w:rsid w:val="00354E17"/>
    <w:rsid w:val="00365193"/>
    <w:rsid w:val="00373811"/>
    <w:rsid w:val="00382F46"/>
    <w:rsid w:val="003867A3"/>
    <w:rsid w:val="003921FC"/>
    <w:rsid w:val="003C1282"/>
    <w:rsid w:val="003D3001"/>
    <w:rsid w:val="003E2005"/>
    <w:rsid w:val="003E26E0"/>
    <w:rsid w:val="003F192F"/>
    <w:rsid w:val="003F2145"/>
    <w:rsid w:val="003F23D1"/>
    <w:rsid w:val="003F3D44"/>
    <w:rsid w:val="00414584"/>
    <w:rsid w:val="004222B2"/>
    <w:rsid w:val="00424E62"/>
    <w:rsid w:val="00451B2F"/>
    <w:rsid w:val="00477B83"/>
    <w:rsid w:val="00481F59"/>
    <w:rsid w:val="00487E1D"/>
    <w:rsid w:val="004903B3"/>
    <w:rsid w:val="0049528A"/>
    <w:rsid w:val="004A05F3"/>
    <w:rsid w:val="004A6336"/>
    <w:rsid w:val="004A7C47"/>
    <w:rsid w:val="004B136B"/>
    <w:rsid w:val="004B2424"/>
    <w:rsid w:val="004B61B2"/>
    <w:rsid w:val="004C32DC"/>
    <w:rsid w:val="004E1A9B"/>
    <w:rsid w:val="005130C0"/>
    <w:rsid w:val="005156F2"/>
    <w:rsid w:val="00520E49"/>
    <w:rsid w:val="0052569F"/>
    <w:rsid w:val="0053286C"/>
    <w:rsid w:val="00540244"/>
    <w:rsid w:val="005414D9"/>
    <w:rsid w:val="00546BD5"/>
    <w:rsid w:val="00562773"/>
    <w:rsid w:val="005A3F31"/>
    <w:rsid w:val="005B2D7F"/>
    <w:rsid w:val="005C4405"/>
    <w:rsid w:val="005C4FB8"/>
    <w:rsid w:val="005E098D"/>
    <w:rsid w:val="005E1C9A"/>
    <w:rsid w:val="005E3092"/>
    <w:rsid w:val="005E3460"/>
    <w:rsid w:val="005F16EA"/>
    <w:rsid w:val="00601821"/>
    <w:rsid w:val="00603353"/>
    <w:rsid w:val="00620464"/>
    <w:rsid w:val="00622163"/>
    <w:rsid w:val="006407D7"/>
    <w:rsid w:val="00661285"/>
    <w:rsid w:val="00677E4D"/>
    <w:rsid w:val="00680E35"/>
    <w:rsid w:val="006837DA"/>
    <w:rsid w:val="00686211"/>
    <w:rsid w:val="006929CF"/>
    <w:rsid w:val="006A31C3"/>
    <w:rsid w:val="006A618D"/>
    <w:rsid w:val="006B5FAE"/>
    <w:rsid w:val="006C12C0"/>
    <w:rsid w:val="006C4C8C"/>
    <w:rsid w:val="006D144A"/>
    <w:rsid w:val="006E3649"/>
    <w:rsid w:val="006F4832"/>
    <w:rsid w:val="007159F6"/>
    <w:rsid w:val="00715E8F"/>
    <w:rsid w:val="00733617"/>
    <w:rsid w:val="00735A57"/>
    <w:rsid w:val="00737213"/>
    <w:rsid w:val="00745CA9"/>
    <w:rsid w:val="007557D9"/>
    <w:rsid w:val="00756655"/>
    <w:rsid w:val="007621A6"/>
    <w:rsid w:val="007755EF"/>
    <w:rsid w:val="00776A64"/>
    <w:rsid w:val="007A6A8A"/>
    <w:rsid w:val="007B0E40"/>
    <w:rsid w:val="007B325A"/>
    <w:rsid w:val="007C3B4C"/>
    <w:rsid w:val="007D0E4F"/>
    <w:rsid w:val="007D324C"/>
    <w:rsid w:val="007D5972"/>
    <w:rsid w:val="007E5FB4"/>
    <w:rsid w:val="007E62B5"/>
    <w:rsid w:val="00836A4B"/>
    <w:rsid w:val="00843DCC"/>
    <w:rsid w:val="00853368"/>
    <w:rsid w:val="008632A3"/>
    <w:rsid w:val="00884458"/>
    <w:rsid w:val="008907F7"/>
    <w:rsid w:val="008A6EC5"/>
    <w:rsid w:val="008C5E79"/>
    <w:rsid w:val="008D2622"/>
    <w:rsid w:val="008D46AE"/>
    <w:rsid w:val="008E43A1"/>
    <w:rsid w:val="008E7A96"/>
    <w:rsid w:val="009043E2"/>
    <w:rsid w:val="0092075D"/>
    <w:rsid w:val="009423A6"/>
    <w:rsid w:val="0095427A"/>
    <w:rsid w:val="00956EE1"/>
    <w:rsid w:val="009641FB"/>
    <w:rsid w:val="009725E0"/>
    <w:rsid w:val="0097797D"/>
    <w:rsid w:val="009A5C9B"/>
    <w:rsid w:val="009B5296"/>
    <w:rsid w:val="009C4901"/>
    <w:rsid w:val="009C7AD5"/>
    <w:rsid w:val="009D3EF6"/>
    <w:rsid w:val="009D5029"/>
    <w:rsid w:val="009E145D"/>
    <w:rsid w:val="009E37A4"/>
    <w:rsid w:val="009F0269"/>
    <w:rsid w:val="00A02501"/>
    <w:rsid w:val="00A0280F"/>
    <w:rsid w:val="00A05B91"/>
    <w:rsid w:val="00A072C8"/>
    <w:rsid w:val="00A14AEC"/>
    <w:rsid w:val="00A211EB"/>
    <w:rsid w:val="00A2686C"/>
    <w:rsid w:val="00A33584"/>
    <w:rsid w:val="00A34149"/>
    <w:rsid w:val="00A36EC3"/>
    <w:rsid w:val="00A43078"/>
    <w:rsid w:val="00A448E4"/>
    <w:rsid w:val="00A530CA"/>
    <w:rsid w:val="00A63229"/>
    <w:rsid w:val="00A632A7"/>
    <w:rsid w:val="00A66F95"/>
    <w:rsid w:val="00A90281"/>
    <w:rsid w:val="00AA402A"/>
    <w:rsid w:val="00AA463F"/>
    <w:rsid w:val="00B05DB2"/>
    <w:rsid w:val="00B153AD"/>
    <w:rsid w:val="00B153BC"/>
    <w:rsid w:val="00B2431C"/>
    <w:rsid w:val="00B26BD5"/>
    <w:rsid w:val="00B41C89"/>
    <w:rsid w:val="00B453E1"/>
    <w:rsid w:val="00B455D6"/>
    <w:rsid w:val="00B75B9A"/>
    <w:rsid w:val="00B87A42"/>
    <w:rsid w:val="00B92CD8"/>
    <w:rsid w:val="00BB18BB"/>
    <w:rsid w:val="00BC4363"/>
    <w:rsid w:val="00BC517B"/>
    <w:rsid w:val="00BC6100"/>
    <w:rsid w:val="00BE1AD7"/>
    <w:rsid w:val="00BE55D8"/>
    <w:rsid w:val="00C138CE"/>
    <w:rsid w:val="00C13C09"/>
    <w:rsid w:val="00C23844"/>
    <w:rsid w:val="00C279E3"/>
    <w:rsid w:val="00C33892"/>
    <w:rsid w:val="00C51CFF"/>
    <w:rsid w:val="00C74385"/>
    <w:rsid w:val="00C87C76"/>
    <w:rsid w:val="00C90D19"/>
    <w:rsid w:val="00CA4FBC"/>
    <w:rsid w:val="00CA5302"/>
    <w:rsid w:val="00CB0A65"/>
    <w:rsid w:val="00CB49F0"/>
    <w:rsid w:val="00CC06AA"/>
    <w:rsid w:val="00CD0B21"/>
    <w:rsid w:val="00CF1D91"/>
    <w:rsid w:val="00CF3945"/>
    <w:rsid w:val="00CF6A10"/>
    <w:rsid w:val="00D23216"/>
    <w:rsid w:val="00D315EF"/>
    <w:rsid w:val="00D404CC"/>
    <w:rsid w:val="00D45883"/>
    <w:rsid w:val="00D54BC8"/>
    <w:rsid w:val="00D557F8"/>
    <w:rsid w:val="00D62BAF"/>
    <w:rsid w:val="00D66A6D"/>
    <w:rsid w:val="00DC2675"/>
    <w:rsid w:val="00DC4632"/>
    <w:rsid w:val="00DD0ABC"/>
    <w:rsid w:val="00DE6F12"/>
    <w:rsid w:val="00E110FE"/>
    <w:rsid w:val="00E21254"/>
    <w:rsid w:val="00E2229D"/>
    <w:rsid w:val="00E34AB6"/>
    <w:rsid w:val="00E442D2"/>
    <w:rsid w:val="00E454F4"/>
    <w:rsid w:val="00E67DF2"/>
    <w:rsid w:val="00E85C8B"/>
    <w:rsid w:val="00E902BD"/>
    <w:rsid w:val="00E92C59"/>
    <w:rsid w:val="00EA7EA1"/>
    <w:rsid w:val="00EB546C"/>
    <w:rsid w:val="00ED406E"/>
    <w:rsid w:val="00F00265"/>
    <w:rsid w:val="00F179F6"/>
    <w:rsid w:val="00F2230E"/>
    <w:rsid w:val="00F22F6F"/>
    <w:rsid w:val="00F40C5D"/>
    <w:rsid w:val="00F7518C"/>
    <w:rsid w:val="00F86644"/>
    <w:rsid w:val="00F95739"/>
    <w:rsid w:val="00FA15EF"/>
    <w:rsid w:val="00FA6D8A"/>
    <w:rsid w:val="00FB3620"/>
    <w:rsid w:val="00FC0633"/>
    <w:rsid w:val="00FC15C0"/>
    <w:rsid w:val="00FD251F"/>
    <w:rsid w:val="00FD4C68"/>
    <w:rsid w:val="00FE0D84"/>
    <w:rsid w:val="00FF55FC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972"/>
    <w:rPr>
      <w:rFonts w:ascii="Times New Roman" w:eastAsia="MS Minngs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A6A8A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A6A8A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styleId="FootnoteReference">
    <w:name w:val="footnote reference"/>
    <w:basedOn w:val="DefaultParagraphFont"/>
    <w:uiPriority w:val="99"/>
    <w:rsid w:val="007D5972"/>
    <w:rPr>
      <w:rFonts w:ascii="Times New Roman" w:hAnsi="Times New Roman" w:cs="Times New Roman"/>
      <w:sz w:val="28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7D5972"/>
    <w:pPr>
      <w:ind w:firstLine="567"/>
      <w:jc w:val="both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7D5972"/>
    <w:rPr>
      <w:rFonts w:ascii="Times New Roman" w:eastAsia="MS Minngs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7A6A8A"/>
    <w:pPr>
      <w:suppressAutoHyphens/>
      <w:spacing w:before="280" w:after="280"/>
    </w:pPr>
    <w:rPr>
      <w:rFonts w:eastAsia="Times New Roman"/>
      <w:lang w:eastAsia="ar-SA"/>
    </w:rPr>
  </w:style>
  <w:style w:type="paragraph" w:styleId="EndnoteText">
    <w:name w:val="endnote text"/>
    <w:basedOn w:val="Normal"/>
    <w:link w:val="EndnoteTextChar"/>
    <w:uiPriority w:val="99"/>
    <w:rsid w:val="00A6322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A63229"/>
    <w:rPr>
      <w:rFonts w:ascii="Times New Roman" w:eastAsia="MS Minngs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A63229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A63229"/>
    <w:pPr>
      <w:ind w:left="720"/>
      <w:contextualSpacing/>
    </w:pPr>
  </w:style>
  <w:style w:type="paragraph" w:customStyle="1" w:styleId="ConsPlusNormal">
    <w:name w:val="ConsPlusNormal"/>
    <w:uiPriority w:val="99"/>
    <w:rsid w:val="00FA6D8A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customStyle="1" w:styleId="FontStyle65">
    <w:name w:val="Font Style65"/>
    <w:basedOn w:val="DefaultParagraphFont"/>
    <w:uiPriority w:val="99"/>
    <w:rsid w:val="00350280"/>
    <w:rPr>
      <w:rFonts w:ascii="Times New Roman" w:hAnsi="Times New Roman" w:cs="Times New Roman"/>
      <w:sz w:val="24"/>
      <w:szCs w:val="24"/>
    </w:rPr>
  </w:style>
  <w:style w:type="character" w:customStyle="1" w:styleId="a">
    <w:name w:val="Основной текст_"/>
    <w:basedOn w:val="DefaultParagraphFont"/>
    <w:link w:val="10"/>
    <w:uiPriority w:val="99"/>
    <w:locked/>
    <w:rsid w:val="006C12C0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"/>
    <w:uiPriority w:val="99"/>
    <w:rsid w:val="006C12C0"/>
    <w:rPr>
      <w:color w:val="000000"/>
      <w:spacing w:val="0"/>
      <w:w w:val="100"/>
      <w:position w:val="0"/>
      <w:u w:val="single"/>
      <w:lang w:val="ru-RU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6C12C0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10">
    <w:name w:val="Основной текст10"/>
    <w:basedOn w:val="Normal"/>
    <w:link w:val="a"/>
    <w:uiPriority w:val="99"/>
    <w:rsid w:val="006C12C0"/>
    <w:pPr>
      <w:widowControl w:val="0"/>
      <w:shd w:val="clear" w:color="auto" w:fill="FFFFFF"/>
      <w:spacing w:after="420" w:line="317" w:lineRule="exact"/>
      <w:ind w:hanging="380"/>
      <w:jc w:val="center"/>
    </w:pPr>
    <w:rPr>
      <w:rFonts w:eastAsia="Times New Roman"/>
      <w:sz w:val="27"/>
      <w:szCs w:val="27"/>
      <w:lang w:eastAsia="en-US"/>
    </w:rPr>
  </w:style>
  <w:style w:type="paragraph" w:customStyle="1" w:styleId="30">
    <w:name w:val="Основной текст (3)"/>
    <w:basedOn w:val="Normal"/>
    <w:link w:val="3"/>
    <w:uiPriority w:val="99"/>
    <w:rsid w:val="006C12C0"/>
    <w:pPr>
      <w:widowControl w:val="0"/>
      <w:shd w:val="clear" w:color="auto" w:fill="FFFFFF"/>
      <w:spacing w:line="240" w:lineRule="atLeast"/>
    </w:pPr>
    <w:rPr>
      <w:rFonts w:eastAsia="Times New Roman"/>
      <w:sz w:val="16"/>
      <w:szCs w:val="16"/>
      <w:lang w:eastAsia="en-US"/>
    </w:rPr>
  </w:style>
  <w:style w:type="character" w:customStyle="1" w:styleId="a0">
    <w:name w:val="Сноска_"/>
    <w:basedOn w:val="DefaultParagraphFont"/>
    <w:link w:val="a1"/>
    <w:uiPriority w:val="99"/>
    <w:locked/>
    <w:rsid w:val="006C12C0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a1">
    <w:name w:val="Сноска"/>
    <w:basedOn w:val="Normal"/>
    <w:link w:val="a0"/>
    <w:uiPriority w:val="99"/>
    <w:rsid w:val="006C12C0"/>
    <w:pPr>
      <w:widowControl w:val="0"/>
      <w:shd w:val="clear" w:color="auto" w:fill="FFFFFF"/>
      <w:spacing w:line="274" w:lineRule="exact"/>
      <w:jc w:val="both"/>
    </w:pPr>
    <w:rPr>
      <w:rFonts w:eastAsia="Times New Roman"/>
      <w:sz w:val="23"/>
      <w:szCs w:val="23"/>
      <w:lang w:eastAsia="en-US"/>
    </w:rPr>
  </w:style>
  <w:style w:type="character" w:customStyle="1" w:styleId="11">
    <w:name w:val="Заголовок №1_"/>
    <w:basedOn w:val="DefaultParagraphFont"/>
    <w:link w:val="12"/>
    <w:uiPriority w:val="99"/>
    <w:locked/>
    <w:rsid w:val="004903B3"/>
    <w:rPr>
      <w:rFonts w:ascii="Times New Roman" w:hAnsi="Times New Roman" w:cs="Times New Roman"/>
      <w:b/>
      <w:bCs/>
      <w:sz w:val="34"/>
      <w:szCs w:val="34"/>
      <w:shd w:val="clear" w:color="auto" w:fill="FFFFFF"/>
    </w:rPr>
  </w:style>
  <w:style w:type="paragraph" w:customStyle="1" w:styleId="12">
    <w:name w:val="Заголовок №1"/>
    <w:basedOn w:val="Normal"/>
    <w:link w:val="11"/>
    <w:uiPriority w:val="99"/>
    <w:rsid w:val="004903B3"/>
    <w:pPr>
      <w:widowControl w:val="0"/>
      <w:shd w:val="clear" w:color="auto" w:fill="FFFFFF"/>
      <w:spacing w:before="1200" w:after="360" w:line="1598" w:lineRule="exact"/>
      <w:jc w:val="center"/>
      <w:outlineLvl w:val="0"/>
    </w:pPr>
    <w:rPr>
      <w:rFonts w:eastAsia="Times New Roman"/>
      <w:b/>
      <w:bCs/>
      <w:sz w:val="34"/>
      <w:szCs w:val="34"/>
      <w:lang w:eastAsia="en-US"/>
    </w:rPr>
  </w:style>
  <w:style w:type="paragraph" w:styleId="Header">
    <w:name w:val="header"/>
    <w:basedOn w:val="Normal"/>
    <w:link w:val="HeaderChar"/>
    <w:uiPriority w:val="99"/>
    <w:rsid w:val="001544C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D3428"/>
    <w:rPr>
      <w:rFonts w:ascii="Times New Roman" w:eastAsia="MS Minngs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544C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3428"/>
    <w:rPr>
      <w:rFonts w:ascii="Times New Roman" w:eastAsia="MS Minngs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544C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08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127</TotalTime>
  <Pages>12</Pages>
  <Words>3208</Words>
  <Characters>18286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Асечка</dc:creator>
  <cp:keywords/>
  <dc:description/>
  <cp:lastModifiedBy>admin</cp:lastModifiedBy>
  <cp:revision>38</cp:revision>
  <cp:lastPrinted>2014-01-17T11:23:00Z</cp:lastPrinted>
  <dcterms:created xsi:type="dcterms:W3CDTF">2014-06-11T06:31:00Z</dcterms:created>
  <dcterms:modified xsi:type="dcterms:W3CDTF">2014-09-15T19:03:00Z</dcterms:modified>
</cp:coreProperties>
</file>