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643"/>
        <w:gridCol w:w="4643"/>
      </w:tblGrid>
      <w:tr w:rsidR="0065537C" w:rsidRPr="00BC1332" w:rsidTr="003949C4">
        <w:tc>
          <w:tcPr>
            <w:tcW w:w="2500" w:type="pct"/>
          </w:tcPr>
          <w:p w:rsidR="0065537C" w:rsidRPr="004A440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sz w:val="20"/>
                <w:szCs w:val="20"/>
              </w:rPr>
              <w:t>УДК 620</w:t>
            </w:r>
          </w:p>
        </w:tc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13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UDC </w:t>
            </w:r>
            <w:r w:rsidRPr="00BC1332">
              <w:rPr>
                <w:rFonts w:ascii="Times New Roman" w:hAnsi="Times New Roman" w:cs="Times New Roman"/>
                <w:sz w:val="20"/>
                <w:szCs w:val="20"/>
              </w:rPr>
              <w:t xml:space="preserve">620 </w:t>
            </w:r>
          </w:p>
        </w:tc>
      </w:tr>
      <w:tr w:rsidR="0065537C" w:rsidRPr="00BC1332" w:rsidTr="003949C4"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37C" w:rsidRPr="004A4402" w:rsidTr="003949C4">
        <w:tc>
          <w:tcPr>
            <w:tcW w:w="2500" w:type="pct"/>
          </w:tcPr>
          <w:p w:rsidR="0065537C" w:rsidRPr="004A440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44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ЭКСПЕРИМЕНТАЛЬНЫХ ИССЛЕДОВАНИЙ БЕНЗИНОВЫХ  НЕФТЯНЫХ ФРАКЦИЙ</w:t>
            </w:r>
          </w:p>
        </w:tc>
        <w:tc>
          <w:tcPr>
            <w:tcW w:w="2500" w:type="pct"/>
          </w:tcPr>
          <w:p w:rsidR="0065537C" w:rsidRPr="004A4402" w:rsidRDefault="0065537C" w:rsidP="004A5C05">
            <w:pPr>
              <w:pStyle w:val="BodyText2"/>
              <w:ind w:right="0"/>
              <w:jc w:val="left"/>
              <w:rPr>
                <w:b/>
                <w:bCs/>
                <w:caps/>
                <w:sz w:val="20"/>
                <w:szCs w:val="20"/>
                <w:lang w:val="en-US"/>
              </w:rPr>
            </w:pPr>
            <w:r w:rsidRPr="004A4402">
              <w:rPr>
                <w:b/>
                <w:bCs/>
                <w:caps/>
                <w:sz w:val="20"/>
                <w:szCs w:val="20"/>
                <w:lang w:val="en-US"/>
              </w:rPr>
              <w:t>RESULTS OF PILOT RESEARCHES OF PETROL OIL FRACTIONS</w:t>
            </w:r>
          </w:p>
        </w:tc>
      </w:tr>
      <w:tr w:rsidR="0065537C" w:rsidRPr="00BC1332" w:rsidTr="003949C4">
        <w:trPr>
          <w:trHeight w:val="170"/>
        </w:trPr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5537C" w:rsidRPr="00BC1332" w:rsidTr="003949C4">
        <w:trPr>
          <w:trHeight w:val="1150"/>
        </w:trPr>
        <w:tc>
          <w:tcPr>
            <w:tcW w:w="2500" w:type="pct"/>
          </w:tcPr>
          <w:p w:rsidR="0065537C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iCs/>
                <w:sz w:val="20"/>
                <w:szCs w:val="20"/>
              </w:rPr>
              <w:t>Харченко Павел Михайлович</w:t>
            </w:r>
          </w:p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C1332">
              <w:rPr>
                <w:rFonts w:ascii="Times New Roman" w:hAnsi="Times New Roman" w:cs="Times New Roman"/>
                <w:iCs/>
                <w:sz w:val="20"/>
                <w:szCs w:val="20"/>
              </w:rPr>
              <w:t>к.т.н., доцент, доцент кафедры,</w:t>
            </w:r>
          </w:p>
          <w:p w:rsidR="0065537C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Pr="00BC1332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1960324@</w:t>
              </w:r>
              <w:r w:rsidRPr="00BC1332">
                <w:rPr>
                  <w:rStyle w:val="Hyperlink"/>
                  <w:rFonts w:ascii="Times New Roman" w:hAnsi="Times New Roman"/>
                  <w:iCs/>
                  <w:sz w:val="20"/>
                  <w:szCs w:val="20"/>
                  <w:lang w:val="en-US"/>
                </w:rPr>
                <w:t>mail</w:t>
              </w:r>
              <w:r w:rsidRPr="00BC1332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.</w:t>
              </w:r>
              <w:r w:rsidRPr="00BC1332">
                <w:rPr>
                  <w:rStyle w:val="Hyperlink"/>
                  <w:rFonts w:ascii="Times New Roman" w:hAnsi="Times New Roman"/>
                  <w:iCs/>
                  <w:sz w:val="20"/>
                  <w:szCs w:val="20"/>
                  <w:lang w:val="en-US"/>
                </w:rPr>
                <w:t>ru</w:t>
              </w:r>
            </w:hyperlink>
          </w:p>
          <w:p w:rsidR="0065537C" w:rsidRPr="004A440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:rsidR="0065537C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iCs/>
                <w:sz w:val="20"/>
                <w:szCs w:val="20"/>
              </w:rPr>
              <w:t>Тимофеев Виталий Павлович</w:t>
            </w:r>
          </w:p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C1332">
              <w:rPr>
                <w:rFonts w:ascii="Times New Roman" w:hAnsi="Times New Roman" w:cs="Times New Roman"/>
                <w:iCs/>
                <w:sz w:val="20"/>
                <w:szCs w:val="20"/>
              </w:rPr>
              <w:t>студент</w:t>
            </w:r>
          </w:p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C13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500" w:type="pct"/>
          </w:tcPr>
          <w:p w:rsidR="0065537C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Kh</w:t>
            </w: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archenko Pavel Mi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</w:t>
            </w: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hailovich</w:t>
            </w:r>
          </w:p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</w:t>
            </w: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andidate of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</w:t>
            </w: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ngineering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</w:t>
            </w: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cience, associate professor,</w:t>
            </w:r>
          </w:p>
          <w:p w:rsidR="0065537C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Pr="00BC1332">
                <w:rPr>
                  <w:rStyle w:val="Hyperlink"/>
                  <w:rFonts w:ascii="Times New Roman" w:hAnsi="Times New Roman"/>
                  <w:iCs/>
                  <w:sz w:val="20"/>
                  <w:szCs w:val="20"/>
                  <w:lang w:val="en-US"/>
                </w:rPr>
                <w:t>1960324@mail.ru</w:t>
              </w:r>
            </w:hyperlink>
          </w:p>
          <w:p w:rsidR="0065537C" w:rsidRPr="004A440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:rsidR="0065537C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Timofeev Vitaliy Pavlovich</w:t>
            </w:r>
          </w:p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student</w:t>
            </w:r>
          </w:p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65537C" w:rsidRPr="00BC1332" w:rsidTr="003949C4"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5537C" w:rsidRPr="00BC1332" w:rsidTr="003949C4"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1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статье рассматриваются результаты экспериментальных исследований бензиновых и нефтяных фракций, их основные физико-химические свойства, плотность и ДНП, жидкая фаза, двухфазная область, критическая область и пограничные кривые</w:t>
            </w:r>
          </w:p>
        </w:tc>
        <w:tc>
          <w:tcPr>
            <w:tcW w:w="2500" w:type="pct"/>
          </w:tcPr>
          <w:p w:rsidR="0065537C" w:rsidRPr="00BC1332" w:rsidRDefault="0065537C" w:rsidP="004A5C05">
            <w:pPr>
              <w:pStyle w:val="BodyText2"/>
              <w:ind w:right="0"/>
              <w:jc w:val="left"/>
              <w:rPr>
                <w:sz w:val="20"/>
                <w:szCs w:val="20"/>
                <w:lang w:val="en-US"/>
              </w:rPr>
            </w:pPr>
            <w:r w:rsidRPr="00BC1332">
              <w:rPr>
                <w:sz w:val="20"/>
                <w:szCs w:val="20"/>
                <w:lang w:val="en-US"/>
              </w:rPr>
              <w:t xml:space="preserve">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BC1332">
              <w:rPr>
                <w:sz w:val="20"/>
                <w:szCs w:val="20"/>
                <w:lang w:val="en-US"/>
              </w:rPr>
              <w:t xml:space="preserve">article </w:t>
            </w:r>
            <w:r>
              <w:rPr>
                <w:sz w:val="20"/>
                <w:szCs w:val="20"/>
                <w:lang w:val="en-US"/>
              </w:rPr>
              <w:t xml:space="preserve">we show the </w:t>
            </w:r>
            <w:r w:rsidRPr="00BC1332">
              <w:rPr>
                <w:sz w:val="20"/>
                <w:szCs w:val="20"/>
                <w:lang w:val="en-US"/>
              </w:rPr>
              <w:t>results of pilot studies of petrol and oil fractions, their main physical and chemical properties, density and DNP, a liquid phase, two-phase area, critical area and boundary curves</w:t>
            </w:r>
          </w:p>
        </w:tc>
      </w:tr>
      <w:tr w:rsidR="0065537C" w:rsidRPr="00BC1332" w:rsidTr="003949C4"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65537C" w:rsidRPr="00BC1332" w:rsidTr="003949C4">
        <w:tc>
          <w:tcPr>
            <w:tcW w:w="2500" w:type="pct"/>
          </w:tcPr>
          <w:p w:rsidR="0065537C" w:rsidRPr="00BC1332" w:rsidRDefault="0065537C" w:rsidP="004A5C05">
            <w:pPr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C1332">
              <w:rPr>
                <w:rFonts w:ascii="Times New Roman" w:hAnsi="Times New Roman" w:cs="Times New Roman"/>
                <w:sz w:val="20"/>
                <w:szCs w:val="20"/>
              </w:rPr>
              <w:t>Ключевые слова: БЕНЗИНОВЫЕ ФРАКЦИИ, НЕФТЯНЫЕ ФРАКЦИИ, ПОГРАНИЧНЫЕ КРИВЫЕ, КРИТИЧЕСКАЯ ОБЛАСТЬ, МЕСТОРОЖДЕНИЯ, ПАРАФИН, ПРЕДЕЛ ВЫКИПАНИЯ, ПЛОТНОСТЬ, ИЗОТЕРМЫ</w:t>
            </w:r>
          </w:p>
        </w:tc>
        <w:tc>
          <w:tcPr>
            <w:tcW w:w="2500" w:type="pct"/>
          </w:tcPr>
          <w:p w:rsidR="0065537C" w:rsidRPr="00BC1332" w:rsidRDefault="0065537C" w:rsidP="004A5C05">
            <w:pPr>
              <w:tabs>
                <w:tab w:val="left" w:pos="4160"/>
              </w:tabs>
              <w:spacing w:line="240" w:lineRule="auto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C13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PETROL FRACTIONS, OIL FRACTIONS, BOUNDARY CURVES, CRITICAL AREA, FIELDS, PARAFFIN,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WATER STEAM</w:t>
            </w:r>
            <w:r w:rsidRPr="00BC13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LIMIT, DENSITY, ISOTHERMS</w:t>
            </w:r>
          </w:p>
        </w:tc>
      </w:tr>
    </w:tbl>
    <w:p w:rsidR="0065537C" w:rsidRPr="005F5CD3" w:rsidRDefault="0065537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5537C" w:rsidRPr="00D33D5E" w:rsidRDefault="0065537C" w:rsidP="00065881">
      <w:pPr>
        <w:spacing w:line="408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3D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Основные физико-химические свойства фракций</w:t>
      </w:r>
    </w:p>
    <w:p w:rsidR="0065537C" w:rsidRDefault="0065537C" w:rsidP="00065881">
      <w:pPr>
        <w:spacing w:line="40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D5E">
        <w:rPr>
          <w:rFonts w:ascii="Times New Roman" w:hAnsi="Times New Roman" w:cs="Times New Roman"/>
          <w:sz w:val="28"/>
          <w:szCs w:val="28"/>
        </w:rPr>
        <w:t>В качестве объектов исследование были</w:t>
      </w:r>
      <w:r>
        <w:rPr>
          <w:rFonts w:ascii="Times New Roman" w:hAnsi="Times New Roman" w:cs="Times New Roman"/>
          <w:sz w:val="28"/>
          <w:szCs w:val="28"/>
        </w:rPr>
        <w:t xml:space="preserve"> выбраны бензиновые фракции трёх различных месторождений: 110-120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С, 105-140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С, НК-180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С, 180-240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 мангышлакской нефти; НК-180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 троицко-анастасьевской нефти и НК-180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 смеси западно-сибирских нефтей.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Подробные характеристики этих нефтей представлены в литературе </w:t>
      </w:r>
      <w:r w:rsidRPr="00DE5AF5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 Характерной особенностью мангышлакских нефтей является высокое содержание в ней парафина, вследствие чего она имеет высокую температуру застывания, малое содержание серы и большое число смолистых веществ.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Нефти Западной Сибири значительно различаются по качеству в зависимости от приуроченных залежей. В основном это нефти с высоким содержание серы.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Троицко-анастасьевская нефть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33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горизонта является тяжелой низкопарафинистой, малосернистой нефтью, содержит мало бензиновых фракций. Во фракциях этой нефти, выкипающих при температурах выше 120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 преобладают нафтеновые углеводороды, в масляных фракциях более половины состава – это смесь ароматических и нафтеновых углеводородов.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Фракция НК-180</w:t>
      </w:r>
      <w:r>
        <w:rPr>
          <w:sz w:val="28"/>
          <w:szCs w:val="28"/>
        </w:rPr>
        <w:t>⁰</w:t>
      </w:r>
      <w:r>
        <w:rPr>
          <w:rFonts w:ascii="Times New Roman" w:hAnsi="Times New Roman" w:cs="Times New Roman"/>
          <w:sz w:val="28"/>
          <w:szCs w:val="28"/>
        </w:rPr>
        <w:t>С западно-сибирской нефти получена с промышленной установки</w:t>
      </w:r>
      <w:r w:rsidRPr="00DE5A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остальные фракции – разгонкой в отраслевой теплофизической лаборатории на специально изготовленном аппарате с ректификационной колонной, снабженной адиабатической оболочкой.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физико- химические свойства и разгонка исследованных фракций по ГОСТ 2177-66 приведены в таблице 1.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Относительную плотность 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4.25pt">
            <v:imagedata r:id="rId8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26" type="#_x0000_t75" style="width:21pt;height:14.25pt">
            <v:imagedata r:id="rId8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определяли по ГОСТ 3900-85 пикнометром постоянного объёма, показатель преломления 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27" type="#_x0000_t75" style="width:19.5pt;height:15.75pt">
            <v:imagedata r:id="rId9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28" type="#_x0000_t75" style="width:19.5pt;height:15.75pt">
            <v:imagedata r:id="rId9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рефрактометре типа ИРФ-22, модульную массу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– криоскопическим методом в бензоле Т</w:t>
      </w:r>
      <w:r w:rsidRPr="00790C20">
        <w:rPr>
          <w:rFonts w:ascii="Times New Roman" w:hAnsi="Times New Roman" w:cs="Times New Roman"/>
          <w:sz w:val="28"/>
          <w:szCs w:val="28"/>
          <w:vertAlign w:val="subscript"/>
        </w:rPr>
        <w:t>Н.К.</w:t>
      </w:r>
      <w:r>
        <w:rPr>
          <w:rFonts w:ascii="Times New Roman" w:hAnsi="Times New Roman" w:cs="Times New Roman"/>
          <w:sz w:val="28"/>
          <w:szCs w:val="28"/>
        </w:rPr>
        <w:t xml:space="preserve"> и Т</w:t>
      </w:r>
      <w:r w:rsidRPr="00790C20">
        <w:rPr>
          <w:rFonts w:ascii="Times New Roman" w:hAnsi="Times New Roman" w:cs="Times New Roman"/>
          <w:sz w:val="28"/>
          <w:szCs w:val="28"/>
          <w:vertAlign w:val="subscript"/>
        </w:rPr>
        <w:t>К.К.</w:t>
      </w:r>
      <w:r w:rsidRPr="00790C20">
        <w:rPr>
          <w:rFonts w:ascii="Times New Roman" w:hAnsi="Times New Roman" w:cs="Times New Roman"/>
          <w:sz w:val="28"/>
          <w:szCs w:val="28"/>
        </w:rPr>
        <w:t xml:space="preserve"> определяли на аппарате Энтлера по ГОСТ 2177-66</w:t>
      </w:r>
      <w:r>
        <w:rPr>
          <w:rFonts w:ascii="Times New Roman" w:hAnsi="Times New Roman" w:cs="Times New Roman"/>
          <w:sz w:val="28"/>
          <w:szCs w:val="28"/>
        </w:rPr>
        <w:t>, групповой углеводородный состав определяли методом флоуресцентно-индикаторного анализа</w:t>
      </w:r>
      <w:r w:rsidRPr="00DE5AF5">
        <w:rPr>
          <w:rFonts w:ascii="Times New Roman" w:hAnsi="Times New Roman" w:cs="Times New Roman"/>
          <w:sz w:val="28"/>
          <w:szCs w:val="28"/>
        </w:rPr>
        <w:t xml:space="preserve"> </w:t>
      </w:r>
      <w:r w:rsidRPr="00DC1F44">
        <w:rPr>
          <w:rFonts w:ascii="Times New Roman" w:hAnsi="Times New Roman" w:cs="Times New Roman"/>
          <w:sz w:val="28"/>
          <w:szCs w:val="28"/>
        </w:rPr>
        <w:t>[</w:t>
      </w:r>
      <w:r w:rsidRPr="00D61EAC">
        <w:rPr>
          <w:rFonts w:ascii="Times New Roman" w:hAnsi="Times New Roman" w:cs="Times New Roman"/>
          <w:sz w:val="28"/>
          <w:szCs w:val="28"/>
        </w:rPr>
        <w:t>3</w:t>
      </w:r>
      <w:r w:rsidRPr="00DC1F4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37C" w:rsidRDefault="0065537C" w:rsidP="00065881">
      <w:pPr>
        <w:spacing w:line="40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таблицы видно, что все исследуемые фракции близки по своему углеводородному составу, это, видимо, характерно для бензиновых фракций многих нефтей</w:t>
      </w:r>
      <w:r w:rsidRPr="00DE5A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 фракциях троицко-анастасьевской нефти, выкипающих в пределах 180</w:t>
      </w:r>
      <w:r w:rsidRPr="00706D28">
        <w:rPr>
          <w:rFonts w:ascii="Times New Roman" w:eastAsia="Times New Roman"/>
          <w:sz w:val="28"/>
          <w:szCs w:val="28"/>
        </w:rPr>
        <w:t>⁰</w:t>
      </w:r>
      <w:r w:rsidRPr="00706D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содержание нафтенов в 2,5-3 раза больше, чем у аналогичных фракций мангышлакской и западно-сибирских нефтей.</w:t>
      </w:r>
    </w:p>
    <w:p w:rsidR="0065537C" w:rsidRDefault="0065537C" w:rsidP="00065881">
      <w:pPr>
        <w:spacing w:line="40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5537C" w:rsidRDefault="0065537C" w:rsidP="00DE5AF5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284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физико-химические свойства и разгонка </w:t>
      </w:r>
    </w:p>
    <w:p w:rsidR="0065537C" w:rsidRDefault="0065537C" w:rsidP="00284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фракций по ГОСТ 2177-66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7"/>
        <w:gridCol w:w="1312"/>
        <w:gridCol w:w="1115"/>
        <w:gridCol w:w="197"/>
        <w:gridCol w:w="937"/>
        <w:gridCol w:w="375"/>
        <w:gridCol w:w="901"/>
        <w:gridCol w:w="411"/>
        <w:gridCol w:w="723"/>
        <w:gridCol w:w="314"/>
        <w:gridCol w:w="1069"/>
      </w:tblGrid>
      <w:tr w:rsidR="0065537C" w:rsidRPr="00FB173F">
        <w:tc>
          <w:tcPr>
            <w:tcW w:w="2217" w:type="dxa"/>
            <w:vMerge w:val="restart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Свойства</w:t>
            </w:r>
          </w:p>
        </w:tc>
        <w:tc>
          <w:tcPr>
            <w:tcW w:w="7354" w:type="dxa"/>
            <w:gridSpan w:val="10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Предел выкипания фракций, </w:t>
            </w:r>
            <w:r w:rsidRPr="00FB173F">
              <w:rPr>
                <w:b/>
                <w:bCs/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</w:tr>
      <w:tr w:rsidR="0065537C" w:rsidRPr="00FB173F">
        <w:tc>
          <w:tcPr>
            <w:tcW w:w="2217" w:type="dxa"/>
            <w:vMerge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110-120</w:t>
            </w:r>
          </w:p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мангыш.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105-140</w:t>
            </w:r>
          </w:p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мангыш.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НК-180</w:t>
            </w:r>
          </w:p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мангыш.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180-240</w:t>
            </w:r>
          </w:p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мангыш.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НК-180</w:t>
            </w:r>
          </w:p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тр.-ан.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НК-180</w:t>
            </w:r>
          </w:p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73F">
              <w:rPr>
                <w:rFonts w:ascii="Times New Roman" w:hAnsi="Times New Roman" w:cs="Times New Roman"/>
                <w:sz w:val="24"/>
                <w:szCs w:val="24"/>
              </w:rPr>
              <w:t>зап.-сиб.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преломления 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029" type="#_x0000_t75" style="width:19.5pt;height:14.25pt">
                  <v:imagedata r:id="rId10" o:title="" chromakey="white"/>
                </v:shape>
              </w:pic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pict>
                <v:shape id="_x0000_i1030" type="#_x0000_t75" style="width:19.5pt;height:14.25pt">
                  <v:imagedata r:id="rId10" o:title="" chromakey="white"/>
                </v:shape>
              </w:pic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1,4105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1,4172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1,4170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1,4395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1,4135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1,4135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 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031" type="#_x0000_t75" style="width:21pt;height:14.25pt">
                  <v:imagedata r:id="rId8" o:title="" chromakey="white"/>
                </v:shape>
              </w:pic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pict>
                <v:shape id="_x0000_i1032" type="#_x0000_t75" style="width:21pt;height:14.25pt">
                  <v:imagedata r:id="rId8" o:title="" chromakey="white"/>
                </v:shape>
              </w:pic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0,7322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0,7454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0,7444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0,7897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0,7552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0,7385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Молекулярная масса, м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119,5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Среднеобъёмная температура кипения </w:t>
            </w:r>
            <w:r w:rsidRPr="00FB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B173F">
              <w:rPr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119,9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124,9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130,9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204,7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121,6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Содержание парафинов и нафтенов, %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91,2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88,2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87,2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90,1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Содержание ароматических углеводородов, %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115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276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134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383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Выкипание, % объёмные</w:t>
            </w:r>
          </w:p>
        </w:tc>
        <w:tc>
          <w:tcPr>
            <w:tcW w:w="7354" w:type="dxa"/>
            <w:gridSpan w:val="10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Температура, </w:t>
            </w:r>
            <w:r w:rsidRPr="00FB173F">
              <w:rPr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116,5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117,5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199,5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116,8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119,3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122,3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113,5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203,5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119,8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125,5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120,5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126,5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128,8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124,5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132,5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161,5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214,8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147,8</w:t>
            </w:r>
          </w:p>
        </w:tc>
      </w:tr>
      <w:tr w:rsidR="0065537C" w:rsidRPr="00FB173F">
        <w:tc>
          <w:tcPr>
            <w:tcW w:w="22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312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037" w:type="dxa"/>
            <w:gridSpan w:val="2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06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164,5</w:t>
            </w:r>
          </w:p>
        </w:tc>
      </w:tr>
    </w:tbl>
    <w:p w:rsidR="0065537C" w:rsidRDefault="0065537C" w:rsidP="000D64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5A1119">
      <w:pPr>
        <w:rPr>
          <w:rFonts w:ascii="Times New Roman" w:hAnsi="Times New Roman" w:cs="Times New Roman"/>
        </w:rPr>
      </w:pPr>
      <w:r>
        <w:pict>
          <v:shape id="_x0000_i1033" type="#_x0000_t75" style="width:466.5pt;height:612pt">
            <v:imagedata r:id="rId11" o:title=""/>
          </v:shape>
        </w:pict>
      </w:r>
    </w:p>
    <w:p w:rsidR="0065537C" w:rsidRDefault="0065537C" w:rsidP="005A1119">
      <w:pPr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5A1119">
      <w:pPr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5A1119">
      <w:pPr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Плотность и ДНП</w:t>
      </w: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иллюстрации в этом разделе приводятся различные сечения термодинамической поверхности фр. НК-180</w:t>
      </w:r>
      <w:r w:rsidRPr="00706D28">
        <w:rPr>
          <w:rFonts w:ascii="Times New Roman" w:eastAsia="Times New Roman"/>
          <w:sz w:val="28"/>
          <w:szCs w:val="28"/>
        </w:rPr>
        <w:t>⁰</w:t>
      </w:r>
      <w:r w:rsidRPr="00706D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мангышлакской нефти. Графики зависимости остальных фракций аналогичны и поэтому не приводятся.</w:t>
      </w: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2.1. Жидкая фаза</w:t>
      </w: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рис. 2. показана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D64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D64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64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зависимость нефтяных фракций. Видно, что изотермы при низких температурах имеют форму слабо наклонных кривых. С увеличением температуры увеличивается значение производной 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4" type="#_x0000_t75" style="width:18pt;height:26.25pt">
            <v:imagedata r:id="rId1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5" type="#_x0000_t75" style="width:18pt;height:26.25pt">
            <v:imagedata r:id="rId1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 Для взаимного согласования эксперементалььных данных и исключения возможных ошибок при измерениях, на графиках проводилось совместное построение изотерм и изобар. Монотонность термодинамической поверхности состояния подтверждала достоверность полученных экспериментальных данных.</w:t>
      </w: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2.2. Двухфазная область</w:t>
      </w: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рис. 3. представлены изотермы фракций в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00E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-координатах. </w:t>
      </w:r>
    </w:p>
    <w:p w:rsidR="0065537C" w:rsidRDefault="0065537C" w:rsidP="000658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двухфазной области, как видно из рисунка, все изотермы имеют вид слабонаклонных линий, наклон которых увеличивается с увеличением температуры и давления. Наибольшую величину 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6" type="#_x0000_t75" style="width:18pt;height:26.25pt">
            <v:imagedata r:id="rId1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7" type="#_x0000_t75" style="width:18pt;height:26.25pt">
            <v:imagedata r:id="rId1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изотермы имеют вблизи левой пограничной кривой. Видимо, это связано с тем, что в двухфазной области вначале выкипают легколетучие компоненты фракции, имеющие наибольшее значение давления насыщенных паров. В середине двухфазной области и вблизи правой пограничной кривой при низких температурах изотермы по форме близки к изобарам.</w:t>
      </w:r>
    </w:p>
    <w:p w:rsidR="0065537C" w:rsidRDefault="0065537C" w:rsidP="00790C20">
      <w:pPr>
        <w:jc w:val="left"/>
      </w:pPr>
      <w:r>
        <w:pict>
          <v:shape id="_x0000_i1038" type="#_x0000_t75" style="width:464.25pt;height:601.5pt">
            <v:imagedata r:id="rId13" o:title=""/>
          </v:shape>
        </w:pict>
      </w:r>
    </w:p>
    <w:p w:rsidR="0065537C" w:rsidRDefault="0065537C" w:rsidP="00790C2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790C2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790C2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C00EBD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00E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00E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координатах все исследуемые фракции независимо от их ширины имеют примерно одинаковую форму бинодали, т.е. на одних и тех же изотермах интервал выкипания для различных фракций отличался незначительно. Значения удельных объёмов и давлений на линиях насыщения для различных фракций при температуре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00EBD">
        <w:rPr>
          <w:rFonts w:ascii="Times New Roman" w:hAnsi="Times New Roman" w:cs="Times New Roman"/>
          <w:sz w:val="28"/>
          <w:szCs w:val="28"/>
        </w:rPr>
        <w:t>=180</w:t>
      </w:r>
      <w:r w:rsidRPr="00C00EBD">
        <w:rPr>
          <w:rFonts w:ascii="Times New Roman" w:eastAsia="Times New Roman"/>
          <w:sz w:val="28"/>
          <w:szCs w:val="28"/>
        </w:rPr>
        <w:t>⁰</w:t>
      </w:r>
      <w:r w:rsidRPr="00C00EBD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таблице 2.</w:t>
      </w:r>
    </w:p>
    <w:p w:rsidR="0065537C" w:rsidRDefault="0065537C" w:rsidP="000658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65537C" w:rsidRDefault="0065537C" w:rsidP="00AD125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Удельные объёмы и давление на линиях насыщения нефтяных фракций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9"/>
        <w:gridCol w:w="1532"/>
        <w:gridCol w:w="1533"/>
        <w:gridCol w:w="1395"/>
        <w:gridCol w:w="1363"/>
      </w:tblGrid>
      <w:tr w:rsidR="0065537C" w:rsidRPr="00FB173F">
        <w:tc>
          <w:tcPr>
            <w:tcW w:w="3652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155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G'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см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3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/г</w:t>
            </w:r>
          </w:p>
        </w:tc>
        <w:tc>
          <w:tcPr>
            <w:tcW w:w="1560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G"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см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3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/г</w:t>
            </w:r>
          </w:p>
        </w:tc>
        <w:tc>
          <w:tcPr>
            <w:tcW w:w="14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P', 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МПа</w:t>
            </w:r>
          </w:p>
        </w:tc>
        <w:tc>
          <w:tcPr>
            <w:tcW w:w="1383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P", </w:t>
            </w:r>
            <w:r w:rsidRPr="00FB1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МПа</w:t>
            </w:r>
          </w:p>
        </w:tc>
      </w:tr>
      <w:tr w:rsidR="0065537C" w:rsidRPr="00FB173F">
        <w:tc>
          <w:tcPr>
            <w:tcW w:w="3652" w:type="dxa"/>
            <w:vAlign w:val="center"/>
          </w:tcPr>
          <w:p w:rsidR="0065537C" w:rsidRPr="00FB173F" w:rsidRDefault="0065537C" w:rsidP="00FB173F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110-120</w:t>
            </w:r>
            <w:r w:rsidRPr="00FB173F">
              <w:rPr>
                <w:rFonts w:ascii="Times New Roman" w:eastAsia="Times New Roman"/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 мангышл. нефть</w:t>
            </w:r>
          </w:p>
        </w:tc>
        <w:tc>
          <w:tcPr>
            <w:tcW w:w="155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1,711</w:t>
            </w:r>
          </w:p>
        </w:tc>
        <w:tc>
          <w:tcPr>
            <w:tcW w:w="1560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14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4,39</w:t>
            </w:r>
          </w:p>
        </w:tc>
        <w:tc>
          <w:tcPr>
            <w:tcW w:w="1383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</w:tr>
      <w:tr w:rsidR="0065537C" w:rsidRPr="00FB173F">
        <w:tc>
          <w:tcPr>
            <w:tcW w:w="3652" w:type="dxa"/>
            <w:vAlign w:val="center"/>
          </w:tcPr>
          <w:p w:rsidR="0065537C" w:rsidRPr="00FB173F" w:rsidRDefault="0065537C" w:rsidP="00FB173F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105-140</w:t>
            </w:r>
            <w:r w:rsidRPr="00FB173F">
              <w:rPr>
                <w:rFonts w:ascii="Times New Roman" w:eastAsia="Times New Roman"/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 мангышл. нефть</w:t>
            </w:r>
          </w:p>
        </w:tc>
        <w:tc>
          <w:tcPr>
            <w:tcW w:w="155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1,671</w:t>
            </w:r>
          </w:p>
        </w:tc>
        <w:tc>
          <w:tcPr>
            <w:tcW w:w="1560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14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4,18</w:t>
            </w:r>
          </w:p>
        </w:tc>
        <w:tc>
          <w:tcPr>
            <w:tcW w:w="1383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3,90</w:t>
            </w:r>
          </w:p>
        </w:tc>
      </w:tr>
      <w:tr w:rsidR="0065537C" w:rsidRPr="00FB173F">
        <w:tc>
          <w:tcPr>
            <w:tcW w:w="3652" w:type="dxa"/>
            <w:vAlign w:val="center"/>
          </w:tcPr>
          <w:p w:rsidR="0065537C" w:rsidRPr="00FB173F" w:rsidRDefault="0065537C" w:rsidP="00FB173F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НК-180</w:t>
            </w:r>
            <w:r w:rsidRPr="00FB173F">
              <w:rPr>
                <w:rFonts w:ascii="Times New Roman" w:eastAsia="Times New Roman"/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 мангышл. нефть</w:t>
            </w:r>
          </w:p>
        </w:tc>
        <w:tc>
          <w:tcPr>
            <w:tcW w:w="155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1,672</w:t>
            </w:r>
          </w:p>
        </w:tc>
        <w:tc>
          <w:tcPr>
            <w:tcW w:w="1560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4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5,12</w:t>
            </w:r>
          </w:p>
        </w:tc>
        <w:tc>
          <w:tcPr>
            <w:tcW w:w="1383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4,70</w:t>
            </w:r>
          </w:p>
        </w:tc>
      </w:tr>
      <w:tr w:rsidR="0065537C" w:rsidRPr="00FB173F">
        <w:tc>
          <w:tcPr>
            <w:tcW w:w="3652" w:type="dxa"/>
            <w:vAlign w:val="center"/>
          </w:tcPr>
          <w:p w:rsidR="0065537C" w:rsidRPr="00FB173F" w:rsidRDefault="0065537C" w:rsidP="00FB173F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НК-180</w:t>
            </w:r>
            <w:r w:rsidRPr="00FB173F">
              <w:rPr>
                <w:rFonts w:ascii="Times New Roman" w:eastAsia="Times New Roman"/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 троиц.-ан. нефть</w:t>
            </w:r>
          </w:p>
        </w:tc>
        <w:tc>
          <w:tcPr>
            <w:tcW w:w="155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1,643</w:t>
            </w:r>
          </w:p>
        </w:tc>
        <w:tc>
          <w:tcPr>
            <w:tcW w:w="1560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4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5,78</w:t>
            </w:r>
          </w:p>
        </w:tc>
        <w:tc>
          <w:tcPr>
            <w:tcW w:w="1383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5,04</w:t>
            </w:r>
          </w:p>
        </w:tc>
      </w:tr>
      <w:tr w:rsidR="0065537C" w:rsidRPr="00FB173F">
        <w:tc>
          <w:tcPr>
            <w:tcW w:w="3652" w:type="dxa"/>
            <w:vAlign w:val="center"/>
          </w:tcPr>
          <w:p w:rsidR="0065537C" w:rsidRPr="00FB173F" w:rsidRDefault="0065537C" w:rsidP="00FB173F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НК-180</w:t>
            </w:r>
            <w:r w:rsidRPr="00FB173F">
              <w:rPr>
                <w:rFonts w:ascii="Times New Roman" w:eastAsia="Times New Roman"/>
                <w:sz w:val="28"/>
                <w:szCs w:val="28"/>
              </w:rPr>
              <w:t>⁰</w:t>
            </w:r>
            <w:r w:rsidRPr="00FB1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 xml:space="preserve"> зап.-сиб. нефть</w:t>
            </w:r>
          </w:p>
        </w:tc>
        <w:tc>
          <w:tcPr>
            <w:tcW w:w="1559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1,705</w:t>
            </w:r>
          </w:p>
        </w:tc>
        <w:tc>
          <w:tcPr>
            <w:tcW w:w="1560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417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6,43</w:t>
            </w:r>
          </w:p>
        </w:tc>
        <w:tc>
          <w:tcPr>
            <w:tcW w:w="1383" w:type="dxa"/>
            <w:vAlign w:val="center"/>
          </w:tcPr>
          <w:p w:rsidR="0065537C" w:rsidRPr="00FB173F" w:rsidRDefault="0065537C" w:rsidP="00FB17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73F">
              <w:rPr>
                <w:rFonts w:ascii="Times New Roman" w:hAnsi="Times New Roman" w:cs="Times New Roman"/>
                <w:sz w:val="28"/>
                <w:szCs w:val="28"/>
              </w:rPr>
              <w:t>5,80</w:t>
            </w:r>
          </w:p>
        </w:tc>
      </w:tr>
    </w:tbl>
    <w:p w:rsidR="0065537C" w:rsidRPr="00C00EBD" w:rsidRDefault="0065537C" w:rsidP="00AD125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87C0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-координатах наблюдалась явная зависимость расстояния между линиями насыщения от ширины фракции. Чем шире фракция, тем больше расстояние. Это хорошо видно из таблицы 2. </w:t>
      </w:r>
    </w:p>
    <w:p w:rsidR="0065537C" w:rsidRDefault="0065537C" w:rsidP="000658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Перепад давлений на линиях насыщения для самой широкой фракции (НК-180</w:t>
      </w:r>
      <w:r w:rsidRPr="00C00EBD">
        <w:rPr>
          <w:rFonts w:ascii="Times New Roman" w:eastAsia="Times New Roman"/>
          <w:sz w:val="28"/>
          <w:szCs w:val="28"/>
        </w:rPr>
        <w:t>⁰</w:t>
      </w:r>
      <w:r w:rsidRPr="00C00EBD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западно-сибирской нефти) на изотерме 180</w:t>
      </w:r>
      <w:r w:rsidRPr="00C00EBD">
        <w:rPr>
          <w:rFonts w:ascii="Times New Roman" w:eastAsia="Times New Roman"/>
          <w:sz w:val="28"/>
          <w:szCs w:val="28"/>
        </w:rPr>
        <w:t>⁰</w:t>
      </w:r>
      <w:r w:rsidRPr="00C00EBD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больше в 2,5 раза, чем для самой узкой фракции. С увеличением температуры эти различия ещё больше увеличиваются.</w:t>
      </w:r>
    </w:p>
    <w:p w:rsidR="0065537C" w:rsidRDefault="0065537C" w:rsidP="000658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065881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2.3. Пограничные кривые</w:t>
      </w:r>
    </w:p>
    <w:p w:rsidR="0065537C" w:rsidRDefault="0065537C" w:rsidP="000658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Показанные на рис. 3. и рис.4. пограничные кривые НК-180</w:t>
      </w:r>
      <w:r w:rsidRPr="004E42CE">
        <w:rPr>
          <w:rFonts w:ascii="Times New Roman" w:eastAsia="Times New Roman"/>
          <w:sz w:val="28"/>
          <w:szCs w:val="28"/>
        </w:rPr>
        <w:t>⁰</w:t>
      </w:r>
      <w:r w:rsidRPr="004E42CE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2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мангышлакской нефти в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E42C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E42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E42C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координатах получены в результате графической обработки крупномасштабных графиков, разрешающая способность которых соответствовала точности получения</w:t>
      </w:r>
      <w:r w:rsidRPr="005E7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экспериментальных данных.</w:t>
      </w:r>
    </w:p>
    <w:p w:rsidR="0065537C" w:rsidRDefault="0065537C" w:rsidP="003C2797">
      <w:pPr>
        <w:rPr>
          <w:rFonts w:ascii="Times New Roman" w:hAnsi="Times New Roman" w:cs="Times New Roman"/>
          <w:sz w:val="28"/>
          <w:szCs w:val="28"/>
        </w:rPr>
      </w:pPr>
      <w:r>
        <w:pict>
          <v:shape id="_x0000_i1039" type="#_x0000_t75" style="width:460.5pt;height:695.25pt">
            <v:imagedata r:id="rId14" o:title=""/>
          </v:shape>
        </w:pict>
      </w:r>
    </w:p>
    <w:p w:rsidR="0065537C" w:rsidRDefault="0065537C" w:rsidP="00790C2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3C2797">
      <w:r>
        <w:pict>
          <v:shape id="_x0000_i1040" type="#_x0000_t75" style="width:447pt;height:550.5pt">
            <v:imagedata r:id="rId15" o:title=""/>
          </v:shape>
        </w:pict>
      </w:r>
    </w:p>
    <w:p w:rsidR="0065537C" w:rsidRDefault="0065537C" w:rsidP="005E7C29">
      <w:pPr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непосредственной близости от критической точки изломы на изотермах исчезали, поэтому графики строились в логарифмических и двойных логарифмических координатах, но при этом увеличивалась погрешность выделения точек пограничных кривых.</w:t>
      </w:r>
    </w:p>
    <w:p w:rsidR="0065537C" w:rsidRDefault="0065537C" w:rsidP="003C27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4E42CE">
      <w:pPr>
        <w:sectPr w:rsidR="0065537C" w:rsidSect="009476D4">
          <w:headerReference w:type="even" r:id="rId16"/>
          <w:headerReference w:type="default" r:id="rId17"/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65537C" w:rsidRDefault="0065537C" w:rsidP="004E42CE">
      <w:pPr>
        <w:sectPr w:rsidR="0065537C" w:rsidSect="003D36F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pict>
          <v:shape id="_x0000_i1041" type="#_x0000_t75" style="width:437.25pt;height:612pt;rotation:-270;mso-position-horizontal-relative:char;mso-position-vertical-relative:line">
            <v:imagedata r:id="rId19" o:title="" gain="69719f"/>
          </v:shape>
        </w:pict>
      </w:r>
    </w:p>
    <w:p w:rsidR="0065537C" w:rsidRDefault="0065537C" w:rsidP="00937E38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рис. 5. представлен  фрагмент выделения левой пограничной кривой в увеличенном масштабе. Аналогично выделялась и правая пограничная кривая. Подобные графики были построены для всех фракций. Помимо излома точки на пограничных кривых определялись по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4E42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функции в </w:t>
      </w:r>
      <w:r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4E42C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E42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координатах. </w:t>
      </w:r>
    </w:p>
    <w:p w:rsidR="0065537C" w:rsidRDefault="0065537C" w:rsidP="00937E3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Ошибка выделения плотности на левой пограничной кривой примерно в 2 раза больше погрешности измерений и возрастает до 3-4 раз. Для правой пограничной кривой эта ошибка в 3-5 раз выше погрешности измерений.</w:t>
      </w:r>
    </w:p>
    <w:p w:rsidR="0065537C" w:rsidRPr="001E36A2" w:rsidRDefault="0065537C" w:rsidP="00937E3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Было замечено, что левая пограничная кривая имеет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34E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образную форму, но выраженную менее значительно, чем у правой. Для всех фракций область перегиба левой пограничной кривой (кроме фракций 180-240 </w:t>
      </w:r>
      <w:r w:rsidRPr="004E42CE">
        <w:rPr>
          <w:rFonts w:ascii="Times New Roman" w:eastAsia="Times New Roman"/>
          <w:sz w:val="28"/>
          <w:szCs w:val="28"/>
        </w:rPr>
        <w:t>⁰</w:t>
      </w:r>
      <w:r w:rsidRPr="004E42CE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мангышлакской нефти) лежит примерно в одном температурном интервале 180-200</w:t>
      </w:r>
      <w:r w:rsidRPr="004E42CE">
        <w:rPr>
          <w:rFonts w:ascii="Times New Roman" w:eastAsia="Times New Roman"/>
          <w:sz w:val="28"/>
          <w:szCs w:val="28"/>
        </w:rPr>
        <w:t>⁰</w:t>
      </w:r>
      <w:r w:rsidRPr="004E42CE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. Этот характерный изгиб хорошо виден на рис. 5.</w:t>
      </w:r>
    </w:p>
    <w:p w:rsidR="0065537C" w:rsidRDefault="0065537C" w:rsidP="00937E38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37C" w:rsidRPr="008C0E70" w:rsidRDefault="0065537C" w:rsidP="00937E38">
      <w:pPr>
        <w:spacing w:line="288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C0E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2.4. Критическая область</w:t>
      </w:r>
    </w:p>
    <w:p w:rsidR="0065537C" w:rsidRDefault="0065537C" w:rsidP="00937E38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уменьшения погрешности построения пограничных кривых в критической области по полученным результатам для всех фракций были построены крупномасштабные 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2" type="#_x0000_t75" style="width:30.75pt;height:15.75pt">
            <v:imagedata r:id="rId20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3" type="#_x0000_t75" style="width:30.75pt;height:15.75pt">
            <v:imagedata r:id="rId20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 w:rsidRPr="008C0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графики, с помощью которых сделана попытка определить критическую температуру и критическую плотность. Для иллюстрации представлен рис. 6., из которого видно, что выделение критических параметров связано с неопределенностью, обусловленной вариацией значений 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4" type="#_x0000_t75" style="width:10.5pt;height:15.75pt">
            <v:imagedata r:id="rId21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5" type="#_x0000_t75" style="width:10.5pt;height:15.75pt">
            <v:imagedata r:id="rId21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 линии насыщения вблизи критической точки. Относительная максимальная ошибка определения критических температур для исследованных фракций составила ±0,04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6" type="#_x0000_t75" style="width:10.5pt;height:10.5pt">
            <v:imagedata r:id="rId2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7" type="#_x0000_t75" style="width:10.5pt;height:10.5pt">
            <v:imagedata r:id="rId2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0,05%. По этим же графикам определялись значения критических плотностей. Для этого использовалось правило прямолинейного диаметра. Относительная максимальная ошибка определения для всех фракций была ±0,5</w:t>
      </w:r>
      <w:r w:rsidRPr="00FB173F">
        <w:rPr>
          <w:rFonts w:ascii="Times New Roman" w:hAnsi="Times New Roman" w:cs="Times New Roman"/>
          <w:sz w:val="28"/>
          <w:szCs w:val="28"/>
        </w:rPr>
        <w:fldChar w:fldCharType="begin"/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8" type="#_x0000_t75" style="width:10.5pt;height:10.5pt">
            <v:imagedata r:id="rId2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FB173F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9" type="#_x0000_t75" style="width:10.5pt;height:10.5pt">
            <v:imagedata r:id="rId22" o:title="" chromakey="white"/>
          </v:shape>
        </w:pict>
      </w:r>
      <w:r w:rsidRPr="00FB173F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1%. Критические значения давлений определялись с использованием графиков в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111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111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координатах. Параметры  были определены для всех исследованных образцов, кроме фракции 180-240</w:t>
      </w:r>
      <w:r w:rsidRPr="004E42CE">
        <w:rPr>
          <w:rFonts w:ascii="Times New Roman" w:eastAsia="Times New Roman"/>
          <w:sz w:val="28"/>
          <w:szCs w:val="28"/>
        </w:rPr>
        <w:t>⁰</w:t>
      </w:r>
      <w:r w:rsidRPr="004E42CE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мангышлакской нефти.</w:t>
      </w:r>
    </w:p>
    <w:p w:rsidR="0065537C" w:rsidRDefault="0065537C" w:rsidP="00937E38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Полученные таким образом значения критических параметров были в дальнейшем использованы при предварительном обобщении экспериментальных данных.</w:t>
      </w:r>
    </w:p>
    <w:p w:rsidR="0065537C" w:rsidRDefault="0065537C">
      <w:pPr>
        <w:rPr>
          <w:rFonts w:ascii="Times New Roman" w:hAnsi="Times New Roman" w:cs="Times New Roman"/>
          <w:sz w:val="28"/>
          <w:szCs w:val="28"/>
        </w:rPr>
      </w:pPr>
    </w:p>
    <w:p w:rsidR="0065537C" w:rsidRDefault="0065537C" w:rsidP="0047015C">
      <w:pPr>
        <w:ind w:hanging="180"/>
        <w:sectPr w:rsidR="0065537C" w:rsidSect="009476D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65537C" w:rsidRDefault="0065537C" w:rsidP="0047015C">
      <w:pPr>
        <w:ind w:hanging="180"/>
        <w:sectPr w:rsidR="0065537C" w:rsidSect="003D36F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pict>
          <v:shape id="_x0000_i1050" type="#_x0000_t75" style="width:408.75pt;height:609pt;rotation:-270;mso-position-horizontal-relative:char;mso-position-vertical-relative:line">
            <v:imagedata r:id="rId23" o:title=""/>
          </v:shape>
        </w:pict>
      </w:r>
    </w:p>
    <w:p w:rsidR="0065537C" w:rsidRPr="009476D4" w:rsidRDefault="0065537C" w:rsidP="0006588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76D4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1. Харченко П. М. Исследование плотности и давления насыщенных пород нефтяных фракций / П. М. Харченко,  В. П. Тимофеев// Труды КубГАУ. – Краснодар. – </w:t>
      </w:r>
      <w:r w:rsidRPr="009476D4">
        <w:rPr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</w:rPr>
        <w:t>2012. –  Т1. – №39. – С. 140 – 142.</w:t>
      </w: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2. Харченко П. М. Экспериментальная установка и методики исследования плотности и ДНП агропромышленных сточных вод/ П. М. Харченко, В. В. Христиченко, Н. А. Блощинский// Труды КубГАУ. – Краснодар. – </w:t>
      </w:r>
      <w:r w:rsidRPr="009476D4">
        <w:rPr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</w:rPr>
        <w:t>2012. –  Т1. – №37. – С. 238 – 242.</w:t>
      </w: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3. Потапенко И. А. Способ термической обработки деталей машин/ И. А. Потапенко, П. М. Харченко; патент на изобретение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9476D4">
        <w:rPr>
          <w:rFonts w:ascii="Times New Roman" w:hAnsi="Times New Roman" w:cs="Times New Roman"/>
          <w:sz w:val="24"/>
          <w:szCs w:val="24"/>
        </w:rPr>
        <w:t xml:space="preserve"> 2297459, 12.10.2005.</w:t>
      </w: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4. Андрейчук В. К. Термоадаптивный блок озонатора/ В. К. Андрейчук, П. М. Харченко; патент на изобретение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9476D4">
        <w:rPr>
          <w:rFonts w:ascii="Times New Roman" w:hAnsi="Times New Roman" w:cs="Times New Roman"/>
          <w:sz w:val="24"/>
          <w:szCs w:val="24"/>
        </w:rPr>
        <w:t xml:space="preserve"> 2181103, 19.10.1999.</w:t>
      </w: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5. Оськин С. В. Ветроэнергетическая установка/ С. В. Оськин, Д. П. Харченко, П. М. Харченко; патент на изобретение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9476D4">
        <w:rPr>
          <w:rFonts w:ascii="Times New Roman" w:hAnsi="Times New Roman" w:cs="Times New Roman"/>
          <w:sz w:val="24"/>
          <w:szCs w:val="24"/>
        </w:rPr>
        <w:t xml:space="preserve"> 2299356, 22.02.2006.</w:t>
      </w: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6. Харченко П. М. Вентиляция производственных и  коммунально-бытовых зданий/ П. М. Харченко, В. В. Христиченко, А. А. Тимофеюк// Труды КубГАУ. – Краснодар. – </w:t>
      </w:r>
      <w:r w:rsidRPr="009476D4">
        <w:rPr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</w:rPr>
        <w:t>2012. –  Т1. – №37. – С. 271 – 275.</w:t>
      </w:r>
    </w:p>
    <w:p w:rsidR="0065537C" w:rsidRPr="009476D4" w:rsidRDefault="0065537C" w:rsidP="00065881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7. Харченко П. М. Расчёт вентиляции и отопления производственного здания/ П. М. Харченко, В. П. Тимофеев// Труды КубГАУ. – Краснодар. – </w:t>
      </w:r>
      <w:r w:rsidRPr="009476D4">
        <w:rPr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</w:rPr>
        <w:t>2013. –  Т1. – №42. – С. 152 – 155.</w:t>
      </w:r>
    </w:p>
    <w:p w:rsidR="0065537C" w:rsidRPr="009476D4" w:rsidRDefault="0065537C" w:rsidP="0006588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1.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Harchenko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Issledovanie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plotnosti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davleniya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nasischennih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porod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neftyanih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frakciy</w:t>
      </w:r>
      <w:r w:rsidRPr="009476D4">
        <w:rPr>
          <w:rFonts w:ascii="Times New Roman" w:hAnsi="Times New Roman" w:cs="Times New Roman"/>
          <w:sz w:val="24"/>
          <w:szCs w:val="24"/>
        </w:rPr>
        <w:t xml:space="preserve">/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Harchenko</w:t>
      </w:r>
      <w:r w:rsidRPr="009476D4">
        <w:rPr>
          <w:rFonts w:ascii="Times New Roman" w:hAnsi="Times New Roman" w:cs="Times New Roman"/>
          <w:sz w:val="24"/>
          <w:szCs w:val="24"/>
        </w:rPr>
        <w:t xml:space="preserve">,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Timofeev</w:t>
      </w:r>
      <w:r w:rsidRPr="009476D4">
        <w:rPr>
          <w:rFonts w:ascii="Times New Roman" w:hAnsi="Times New Roman" w:cs="Times New Roman"/>
          <w:sz w:val="24"/>
          <w:szCs w:val="24"/>
        </w:rPr>
        <w:t xml:space="preserve">//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Trudi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KubGAU</w:t>
      </w:r>
      <w:r w:rsidRPr="009476D4">
        <w:rPr>
          <w:rFonts w:ascii="Times New Roman" w:hAnsi="Times New Roman" w:cs="Times New Roman"/>
          <w:sz w:val="24"/>
          <w:szCs w:val="24"/>
        </w:rPr>
        <w:t xml:space="preserve">. –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Krasnodar</w:t>
      </w:r>
      <w:r w:rsidRPr="009476D4">
        <w:rPr>
          <w:rFonts w:ascii="Times New Roman" w:hAnsi="Times New Roman" w:cs="Times New Roman"/>
          <w:sz w:val="24"/>
          <w:szCs w:val="24"/>
        </w:rPr>
        <w:t xml:space="preserve">. – 2012. –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476D4">
        <w:rPr>
          <w:rFonts w:ascii="Times New Roman" w:hAnsi="Times New Roman" w:cs="Times New Roman"/>
          <w:sz w:val="24"/>
          <w:szCs w:val="24"/>
        </w:rPr>
        <w:t xml:space="preserve">1. – №39. –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476D4">
        <w:rPr>
          <w:rFonts w:ascii="Times New Roman" w:hAnsi="Times New Roman" w:cs="Times New Roman"/>
          <w:sz w:val="24"/>
          <w:szCs w:val="24"/>
        </w:rPr>
        <w:t>. 140 – 142.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76D4">
        <w:rPr>
          <w:rFonts w:ascii="Times New Roman" w:hAnsi="Times New Roman" w:cs="Times New Roman"/>
          <w:sz w:val="24"/>
          <w:szCs w:val="24"/>
        </w:rPr>
        <w:t xml:space="preserve">2.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Harchenko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Eksperimentalnaya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ustanovka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metodiki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issledovaniya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plotnosti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DNP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agropromishlennih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stochnih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vod</w:t>
      </w:r>
      <w:r w:rsidRPr="009476D4">
        <w:rPr>
          <w:rFonts w:ascii="Times New Roman" w:hAnsi="Times New Roman" w:cs="Times New Roman"/>
          <w:sz w:val="24"/>
          <w:szCs w:val="24"/>
        </w:rPr>
        <w:t xml:space="preserve">/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Harchenko</w:t>
      </w:r>
      <w:r w:rsidRPr="009476D4">
        <w:rPr>
          <w:rFonts w:ascii="Times New Roman" w:hAnsi="Times New Roman" w:cs="Times New Roman"/>
          <w:sz w:val="24"/>
          <w:szCs w:val="24"/>
        </w:rPr>
        <w:t xml:space="preserve">,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476D4">
        <w:rPr>
          <w:rFonts w:ascii="Times New Roman" w:hAnsi="Times New Roman" w:cs="Times New Roman"/>
          <w:sz w:val="24"/>
          <w:szCs w:val="24"/>
        </w:rPr>
        <w:t xml:space="preserve">.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Bloschinskiy</w:t>
      </w:r>
      <w:r w:rsidRPr="009476D4">
        <w:rPr>
          <w:rFonts w:ascii="Times New Roman" w:hAnsi="Times New Roman" w:cs="Times New Roman"/>
          <w:sz w:val="24"/>
          <w:szCs w:val="24"/>
        </w:rPr>
        <w:t xml:space="preserve">//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Trudi</w:t>
      </w:r>
      <w:r w:rsidRPr="009476D4">
        <w:rPr>
          <w:rFonts w:ascii="Times New Roman" w:hAnsi="Times New Roman" w:cs="Times New Roman"/>
          <w:sz w:val="24"/>
          <w:szCs w:val="24"/>
        </w:rPr>
        <w:t xml:space="preserve">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KubGAU</w:t>
      </w:r>
      <w:r w:rsidRPr="009476D4">
        <w:rPr>
          <w:rFonts w:ascii="Times New Roman" w:hAnsi="Times New Roman" w:cs="Times New Roman"/>
          <w:sz w:val="24"/>
          <w:szCs w:val="24"/>
        </w:rPr>
        <w:t xml:space="preserve">. –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Krasnodar</w:t>
      </w:r>
      <w:r w:rsidRPr="009476D4">
        <w:rPr>
          <w:rFonts w:ascii="Times New Roman" w:hAnsi="Times New Roman" w:cs="Times New Roman"/>
          <w:sz w:val="24"/>
          <w:szCs w:val="24"/>
        </w:rPr>
        <w:t xml:space="preserve">. – 2012. –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476D4">
        <w:rPr>
          <w:rFonts w:ascii="Times New Roman" w:hAnsi="Times New Roman" w:cs="Times New Roman"/>
          <w:sz w:val="24"/>
          <w:szCs w:val="24"/>
        </w:rPr>
        <w:t xml:space="preserve">1. – №37. – </w:t>
      </w:r>
      <w:r w:rsidRPr="009476D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476D4">
        <w:rPr>
          <w:rFonts w:ascii="Times New Roman" w:hAnsi="Times New Roman" w:cs="Times New Roman"/>
          <w:sz w:val="24"/>
          <w:szCs w:val="24"/>
        </w:rPr>
        <w:t>. 238 – 242.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6D4">
        <w:rPr>
          <w:rFonts w:ascii="Times New Roman" w:hAnsi="Times New Roman" w:cs="Times New Roman"/>
          <w:sz w:val="24"/>
          <w:szCs w:val="24"/>
          <w:lang w:val="en-US"/>
        </w:rPr>
        <w:t>3. Potapenko I. A. Sposob termicheskoy obrabotki detaley mashin/ I. A. Potapenko, P. M. Harchenko; patent na izobretenie RUS 2297459, 12.10.2005.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6D4">
        <w:rPr>
          <w:rFonts w:ascii="Times New Roman" w:hAnsi="Times New Roman" w:cs="Times New Roman"/>
          <w:sz w:val="24"/>
          <w:szCs w:val="24"/>
          <w:lang w:val="en-US"/>
        </w:rPr>
        <w:t>4. Andreychuk V. K. Termoadaptivniy blok ozonatora/ V. K. Andreychuk, P. M. Harchenko; patent na izobretenie RUS 2181103, 19.10.1999.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6D4">
        <w:rPr>
          <w:rFonts w:ascii="Times New Roman" w:hAnsi="Times New Roman" w:cs="Times New Roman"/>
          <w:sz w:val="24"/>
          <w:szCs w:val="24"/>
          <w:lang w:val="en-US"/>
        </w:rPr>
        <w:t>5. Oskin S. V. Vetroenergeticheskaya ustanovka/ S. V. Oskin, D. P. Harchenko, P. M. Harchenko; patent na izobretenie RUS 2299356, 22.02.2006.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6D4">
        <w:rPr>
          <w:rFonts w:ascii="Times New Roman" w:hAnsi="Times New Roman" w:cs="Times New Roman"/>
          <w:sz w:val="24"/>
          <w:szCs w:val="24"/>
          <w:lang w:val="en-US"/>
        </w:rPr>
        <w:t>6. Harchenko P. M. Ventilyaciya proizvodstvennih i kommunalno-bitovih zdaniy/ P. M. Harchenko, V. V. Hristichenko, A. A. Timofeyuk// Trudi KubGAU. – Krasnodar. – 2012. – T1. – №37. – S. 271 – 275.</w:t>
      </w:r>
    </w:p>
    <w:p w:rsidR="0065537C" w:rsidRPr="009476D4" w:rsidRDefault="0065537C" w:rsidP="000658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76D4">
        <w:rPr>
          <w:rFonts w:ascii="Times New Roman" w:hAnsi="Times New Roman" w:cs="Times New Roman"/>
          <w:sz w:val="24"/>
          <w:szCs w:val="24"/>
          <w:lang w:val="en-US"/>
        </w:rPr>
        <w:t>7. Harchenko P. M. Raschet ventilyacii i otopleniya proizvodstvennogo zdaniya/ P. M. Harchenko, V. P. Timofeev// Trudi KubGAU. – Krasnodar. – 2013. – T1. – №42. – S. 152 – 155.</w:t>
      </w:r>
    </w:p>
    <w:sectPr w:rsidR="0065537C" w:rsidRPr="009476D4" w:rsidSect="009476D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37C" w:rsidRDefault="0065537C">
      <w:r>
        <w:separator/>
      </w:r>
    </w:p>
  </w:endnote>
  <w:endnote w:type="continuationSeparator" w:id="0">
    <w:p w:rsidR="0065537C" w:rsidRDefault="00655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7C" w:rsidRPr="00E14AAE" w:rsidRDefault="0065537C" w:rsidP="00E14AAE">
    <w:pPr>
      <w:pStyle w:val="Footer"/>
      <w:jc w:val="both"/>
      <w:rPr>
        <w:rFonts w:ascii="Times New Roman" w:hAnsi="Times New Roman" w:cs="Times New Roman"/>
        <w:sz w:val="24"/>
        <w:szCs w:val="24"/>
        <w:lang w:val="en-US"/>
      </w:rPr>
    </w:pPr>
    <w:r w:rsidRPr="00E14AAE">
      <w:rPr>
        <w:rFonts w:ascii="Times New Roman" w:hAnsi="Times New Roman" w:cs="Times New Roman"/>
        <w:sz w:val="24"/>
        <w:szCs w:val="24"/>
      </w:rPr>
      <w:t>http://ej.kubagro.ru/201</w:t>
    </w:r>
    <w:r w:rsidRPr="00E14AAE">
      <w:rPr>
        <w:rFonts w:ascii="Times New Roman" w:hAnsi="Times New Roman" w:cs="Times New Roman"/>
        <w:sz w:val="24"/>
        <w:szCs w:val="24"/>
        <w:lang w:val="en-US"/>
      </w:rPr>
      <w:t>4</w:t>
    </w:r>
    <w:r w:rsidRPr="00E14AAE">
      <w:rPr>
        <w:rFonts w:ascii="Times New Roman" w:hAnsi="Times New Roman" w:cs="Times New Roman"/>
        <w:sz w:val="24"/>
        <w:szCs w:val="24"/>
      </w:rPr>
      <w:t>/</w:t>
    </w:r>
    <w:r w:rsidRPr="00E14AAE">
      <w:rPr>
        <w:rFonts w:ascii="Times New Roman" w:hAnsi="Times New Roman" w:cs="Times New Roman"/>
        <w:sz w:val="24"/>
        <w:szCs w:val="24"/>
        <w:lang w:val="en-US"/>
      </w:rPr>
      <w:t>04</w:t>
    </w:r>
    <w:r w:rsidRPr="00E14AAE">
      <w:rPr>
        <w:rFonts w:ascii="Times New Roman" w:hAnsi="Times New Roman" w:cs="Times New Roman"/>
        <w:sz w:val="24"/>
        <w:szCs w:val="24"/>
      </w:rPr>
      <w:t>/pdf/</w:t>
    </w:r>
    <w:r w:rsidRPr="00E14AAE">
      <w:rPr>
        <w:rFonts w:ascii="Times New Roman" w:hAnsi="Times New Roman" w:cs="Times New Roman"/>
        <w:sz w:val="24"/>
        <w:szCs w:val="24"/>
        <w:lang w:val="en-US"/>
      </w:rPr>
      <w:t>3</w:t>
    </w:r>
    <w:r>
      <w:rPr>
        <w:rFonts w:ascii="Times New Roman" w:hAnsi="Times New Roman" w:cs="Times New Roman"/>
        <w:sz w:val="24"/>
        <w:szCs w:val="24"/>
        <w:lang w:val="en-US"/>
      </w:rPr>
      <w:t>2</w:t>
    </w:r>
    <w:r w:rsidRPr="00E14AAE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37C" w:rsidRDefault="0065537C">
      <w:r>
        <w:separator/>
      </w:r>
    </w:p>
  </w:footnote>
  <w:footnote w:type="continuationSeparator" w:id="0">
    <w:p w:rsidR="0065537C" w:rsidRDefault="00655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7C" w:rsidRDefault="0065537C" w:rsidP="00A35689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65537C" w:rsidRDefault="0065537C" w:rsidP="00BC133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7C" w:rsidRPr="00BC1332" w:rsidRDefault="0065537C" w:rsidP="00A3568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C1332">
      <w:rPr>
        <w:rStyle w:val="PageNumber"/>
        <w:rFonts w:ascii="Times New Roman" w:hAnsi="Times New Roman"/>
        <w:sz w:val="28"/>
        <w:szCs w:val="28"/>
      </w:rPr>
      <w:fldChar w:fldCharType="begin"/>
    </w:r>
    <w:r w:rsidRPr="00BC133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C133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BC1332">
      <w:rPr>
        <w:rStyle w:val="PageNumber"/>
        <w:rFonts w:ascii="Times New Roman" w:hAnsi="Times New Roman"/>
        <w:sz w:val="28"/>
        <w:szCs w:val="28"/>
      </w:rPr>
      <w:fldChar w:fldCharType="end"/>
    </w:r>
  </w:p>
  <w:p w:rsidR="0065537C" w:rsidRPr="00BC1332" w:rsidRDefault="0065537C" w:rsidP="00BC1332">
    <w:pPr>
      <w:pStyle w:val="Header"/>
      <w:ind w:right="360"/>
      <w:jc w:val="both"/>
      <w:rPr>
        <w:rFonts w:ascii="Times New Roman" w:hAnsi="Times New Roman" w:cs="Times New Roman"/>
        <w:sz w:val="24"/>
        <w:szCs w:val="24"/>
        <w:lang w:val="en-US"/>
      </w:rPr>
    </w:pPr>
    <w:r w:rsidRPr="00BC1332">
      <w:rPr>
        <w:rFonts w:ascii="Times New Roman" w:hAnsi="Times New Roman" w:cs="Times New Roman"/>
        <w:sz w:val="24"/>
        <w:szCs w:val="24"/>
      </w:rPr>
      <w:t>Научный журнал КубГАУ, №9</w:t>
    </w:r>
    <w:r w:rsidRPr="00BC1332">
      <w:rPr>
        <w:rFonts w:ascii="Times New Roman" w:hAnsi="Times New Roman" w:cs="Times New Roman"/>
        <w:sz w:val="24"/>
        <w:szCs w:val="24"/>
        <w:lang w:val="en-US"/>
      </w:rPr>
      <w:t>8</w:t>
    </w:r>
    <w:r w:rsidRPr="00BC1332">
      <w:rPr>
        <w:rFonts w:ascii="Times New Roman" w:hAnsi="Times New Roman" w:cs="Times New Roman"/>
        <w:sz w:val="24"/>
        <w:szCs w:val="24"/>
      </w:rPr>
      <w:t>(</w:t>
    </w:r>
    <w:r w:rsidRPr="00BC1332">
      <w:rPr>
        <w:rFonts w:ascii="Times New Roman" w:hAnsi="Times New Roman" w:cs="Times New Roman"/>
        <w:sz w:val="24"/>
        <w:szCs w:val="24"/>
        <w:lang w:val="en-US"/>
      </w:rPr>
      <w:t>04</w:t>
    </w:r>
    <w:r w:rsidRPr="00BC1332">
      <w:rPr>
        <w:rFonts w:ascii="Times New Roman" w:hAnsi="Times New Roman" w:cs="Times New Roman"/>
        <w:sz w:val="24"/>
        <w:szCs w:val="24"/>
      </w:rPr>
      <w:t>), 201</w:t>
    </w:r>
    <w:r w:rsidRPr="00BC1332">
      <w:rPr>
        <w:rFonts w:ascii="Times New Roman" w:hAnsi="Times New Roman" w:cs="Times New Roman"/>
        <w:sz w:val="24"/>
        <w:szCs w:val="24"/>
        <w:lang w:val="en-US"/>
      </w:rPr>
      <w:t>4</w:t>
    </w:r>
    <w:r w:rsidRPr="00BC1332">
      <w:rPr>
        <w:rFonts w:ascii="Times New Roman" w:hAnsi="Times New Roman" w:cs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D5E"/>
    <w:rsid w:val="0001110C"/>
    <w:rsid w:val="00021053"/>
    <w:rsid w:val="00065881"/>
    <w:rsid w:val="00082C4E"/>
    <w:rsid w:val="000D64E3"/>
    <w:rsid w:val="001001F1"/>
    <w:rsid w:val="00157F43"/>
    <w:rsid w:val="00186E57"/>
    <w:rsid w:val="001A0725"/>
    <w:rsid w:val="001E36A2"/>
    <w:rsid w:val="00224F45"/>
    <w:rsid w:val="002628EE"/>
    <w:rsid w:val="0028223E"/>
    <w:rsid w:val="00284FD5"/>
    <w:rsid w:val="002D1D00"/>
    <w:rsid w:val="003026D0"/>
    <w:rsid w:val="00346E9A"/>
    <w:rsid w:val="00364DBC"/>
    <w:rsid w:val="003949C4"/>
    <w:rsid w:val="003A50E0"/>
    <w:rsid w:val="003C2797"/>
    <w:rsid w:val="003D36F8"/>
    <w:rsid w:val="003E2CF2"/>
    <w:rsid w:val="00443AA8"/>
    <w:rsid w:val="0047015C"/>
    <w:rsid w:val="00497B5B"/>
    <w:rsid w:val="004A4402"/>
    <w:rsid w:val="004A5C05"/>
    <w:rsid w:val="004B1517"/>
    <w:rsid w:val="004E42CE"/>
    <w:rsid w:val="00530FD2"/>
    <w:rsid w:val="00534ED7"/>
    <w:rsid w:val="0054315F"/>
    <w:rsid w:val="005A1119"/>
    <w:rsid w:val="005A76C3"/>
    <w:rsid w:val="005B5C0E"/>
    <w:rsid w:val="005E3563"/>
    <w:rsid w:val="005E7C29"/>
    <w:rsid w:val="005F5CD3"/>
    <w:rsid w:val="00611635"/>
    <w:rsid w:val="0065537C"/>
    <w:rsid w:val="006D2FDE"/>
    <w:rsid w:val="006E2B88"/>
    <w:rsid w:val="00706D28"/>
    <w:rsid w:val="00725146"/>
    <w:rsid w:val="007321E9"/>
    <w:rsid w:val="00741E3D"/>
    <w:rsid w:val="007645FB"/>
    <w:rsid w:val="00773E06"/>
    <w:rsid w:val="0078073C"/>
    <w:rsid w:val="00790C20"/>
    <w:rsid w:val="0079413B"/>
    <w:rsid w:val="00797439"/>
    <w:rsid w:val="007C0A0F"/>
    <w:rsid w:val="00825659"/>
    <w:rsid w:val="00892177"/>
    <w:rsid w:val="008972C7"/>
    <w:rsid w:val="008C0E70"/>
    <w:rsid w:val="00937E38"/>
    <w:rsid w:val="009476D4"/>
    <w:rsid w:val="00A01316"/>
    <w:rsid w:val="00A170C4"/>
    <w:rsid w:val="00A35689"/>
    <w:rsid w:val="00A45EC5"/>
    <w:rsid w:val="00A47C33"/>
    <w:rsid w:val="00AD07D4"/>
    <w:rsid w:val="00AD1251"/>
    <w:rsid w:val="00B51C34"/>
    <w:rsid w:val="00B72F7B"/>
    <w:rsid w:val="00B85679"/>
    <w:rsid w:val="00BC1332"/>
    <w:rsid w:val="00C00EBD"/>
    <w:rsid w:val="00C06FF5"/>
    <w:rsid w:val="00C314CD"/>
    <w:rsid w:val="00C34FC8"/>
    <w:rsid w:val="00C61BAD"/>
    <w:rsid w:val="00C84ED4"/>
    <w:rsid w:val="00C871A1"/>
    <w:rsid w:val="00CF43F0"/>
    <w:rsid w:val="00D21691"/>
    <w:rsid w:val="00D33D5E"/>
    <w:rsid w:val="00D61EAC"/>
    <w:rsid w:val="00D80642"/>
    <w:rsid w:val="00D87C0D"/>
    <w:rsid w:val="00DC1F44"/>
    <w:rsid w:val="00DE4A55"/>
    <w:rsid w:val="00DE5AF5"/>
    <w:rsid w:val="00E04AEA"/>
    <w:rsid w:val="00E14AAE"/>
    <w:rsid w:val="00E81AF6"/>
    <w:rsid w:val="00EE17F9"/>
    <w:rsid w:val="00EE4843"/>
    <w:rsid w:val="00F07298"/>
    <w:rsid w:val="00F875B5"/>
    <w:rsid w:val="00FB173F"/>
    <w:rsid w:val="00FE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F7B"/>
    <w:pPr>
      <w:spacing w:line="360" w:lineRule="auto"/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84FD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E2CF2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3E2C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2CF2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F5CD3"/>
    <w:pPr>
      <w:spacing w:line="240" w:lineRule="auto"/>
      <w:ind w:right="-7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F5CD3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5F5CD3"/>
    <w:rPr>
      <w:rFonts w:cs="Times New Roman"/>
      <w:color w:val="0000FF"/>
      <w:u w:val="single"/>
    </w:rPr>
  </w:style>
  <w:style w:type="character" w:customStyle="1" w:styleId="second-text">
    <w:name w:val="second-text"/>
    <w:basedOn w:val="DefaultParagraphFont"/>
    <w:uiPriority w:val="99"/>
    <w:rsid w:val="005F5CD3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C06F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06FF5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BC133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BC133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BC13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hyperlink" Target="mailto:1960324@mail.ru" TargetMode="Externa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mailto:1960324@mail.ru" TargetMode="Externa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23" Type="http://schemas.openxmlformats.org/officeDocument/2006/relationships/image" Target="media/image13.emf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518</TotalTime>
  <Pages>13</Pages>
  <Words>1773</Words>
  <Characters>10112</Characters>
  <Application>Microsoft Office Outlook</Application>
  <DocSecurity>0</DocSecurity>
  <Lines>0</Lines>
  <Paragraphs>0</Paragraphs>
  <ScaleCrop>false</ScaleCrop>
  <Company>КГАУ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Flash</dc:creator>
  <cp:keywords/>
  <dc:description/>
  <cp:lastModifiedBy>1</cp:lastModifiedBy>
  <cp:revision>47</cp:revision>
  <cp:lastPrinted>2014-03-27T04:47:00Z</cp:lastPrinted>
  <dcterms:created xsi:type="dcterms:W3CDTF">2014-02-26T15:30:00Z</dcterms:created>
  <dcterms:modified xsi:type="dcterms:W3CDTF">2014-04-28T18:49:00Z</dcterms:modified>
</cp:coreProperties>
</file>