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45"/>
        <w:gridCol w:w="4515"/>
      </w:tblGrid>
      <w:tr w:rsidR="00A41FC1" w:rsidRPr="00FC1C4A" w:rsidTr="00FC1C4A">
        <w:trPr>
          <w:tblCellSpacing w:w="15" w:type="dxa"/>
        </w:trPr>
        <w:tc>
          <w:tcPr>
            <w:tcW w:w="2511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</w:rPr>
              <w:t>УДК633.31/.37</w:t>
            </w:r>
          </w:p>
        </w:tc>
        <w:tc>
          <w:tcPr>
            <w:tcW w:w="2440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5177AF">
              <w:rPr>
                <w:sz w:val="20"/>
                <w:szCs w:val="20"/>
              </w:rPr>
              <w:t>UDC 633.31/.37</w:t>
            </w:r>
          </w:p>
        </w:tc>
      </w:tr>
      <w:tr w:rsidR="00A41FC1" w:rsidRPr="00FC1C4A" w:rsidTr="00FC1C4A">
        <w:trPr>
          <w:tblCellSpacing w:w="15" w:type="dxa"/>
        </w:trPr>
        <w:tc>
          <w:tcPr>
            <w:tcW w:w="2511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440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</w:tr>
      <w:tr w:rsidR="00A41FC1" w:rsidRPr="00F875E5" w:rsidTr="00FC1C4A">
        <w:trPr>
          <w:tblCellSpacing w:w="15" w:type="dxa"/>
        </w:trPr>
        <w:tc>
          <w:tcPr>
            <w:tcW w:w="2511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b/>
                <w:bCs/>
                <w:sz w:val="20"/>
                <w:szCs w:val="20"/>
              </w:rPr>
            </w:pPr>
            <w:r w:rsidRPr="005177AF">
              <w:rPr>
                <w:b/>
                <w:bCs/>
                <w:sz w:val="20"/>
                <w:szCs w:val="20"/>
              </w:rPr>
              <w:t>ЗНАЧЕНИЕ И ИСПОЛЬЗОВАНИЕ ОДНОЛЕТНИХ ТРАВ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0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  <w:r w:rsidRPr="005177AF">
              <w:rPr>
                <w:b/>
                <w:sz w:val="20"/>
                <w:szCs w:val="20"/>
                <w:lang w:val="en-US"/>
              </w:rPr>
              <w:t xml:space="preserve">IMPORTANCE AND USE </w:t>
            </w:r>
            <w:r>
              <w:rPr>
                <w:b/>
                <w:sz w:val="20"/>
                <w:szCs w:val="20"/>
                <w:lang w:val="en-US"/>
              </w:rPr>
              <w:t xml:space="preserve">OF ANNUAL </w:t>
            </w:r>
            <w:r w:rsidRPr="005177AF">
              <w:rPr>
                <w:b/>
                <w:sz w:val="20"/>
                <w:szCs w:val="20"/>
                <w:lang w:val="en-US"/>
              </w:rPr>
              <w:t xml:space="preserve">GRASSES </w:t>
            </w:r>
          </w:p>
        </w:tc>
      </w:tr>
      <w:tr w:rsidR="00A41FC1" w:rsidRPr="00F875E5" w:rsidTr="00FC1C4A">
        <w:trPr>
          <w:tblCellSpacing w:w="15" w:type="dxa"/>
        </w:trPr>
        <w:tc>
          <w:tcPr>
            <w:tcW w:w="2511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5177AF">
              <w:rPr>
                <w:sz w:val="20"/>
                <w:szCs w:val="20"/>
              </w:rPr>
              <w:t>Репко Наталья Валентиновна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5177AF">
              <w:rPr>
                <w:sz w:val="20"/>
                <w:szCs w:val="20"/>
              </w:rPr>
              <w:t>к.с.-х.н., доцент</w:t>
            </w:r>
          </w:p>
        </w:tc>
        <w:tc>
          <w:tcPr>
            <w:tcW w:w="2440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  <w:lang w:val="en-US"/>
              </w:rPr>
              <w:t>Repko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  <w:lang w:val="en-US"/>
              </w:rPr>
              <w:t>Nataliya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  <w:lang w:val="en-US"/>
              </w:rPr>
              <w:t>Valentinovna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Cand.Agr.Sci.</w:t>
            </w:r>
            <w:r w:rsidRPr="005177AF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</w:tc>
      </w:tr>
      <w:tr w:rsidR="00A41FC1" w:rsidRPr="00D028D6" w:rsidTr="00FC1C4A">
        <w:trPr>
          <w:tblCellSpacing w:w="15" w:type="dxa"/>
        </w:trPr>
        <w:tc>
          <w:tcPr>
            <w:tcW w:w="2511" w:type="pct"/>
          </w:tcPr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</w:rPr>
              <w:t>Подоляк</w:t>
            </w:r>
            <w:r w:rsidRPr="00D028D6"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Ксения</w:t>
            </w:r>
            <w:r w:rsidRPr="00D028D6"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Вадимовна</w:t>
            </w:r>
          </w:p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</w:rPr>
              <w:t>старший</w:t>
            </w:r>
            <w:r w:rsidRPr="00D028D6"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лаборант</w:t>
            </w:r>
          </w:p>
        </w:tc>
        <w:tc>
          <w:tcPr>
            <w:tcW w:w="2440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D028D6">
              <w:rPr>
                <w:sz w:val="20"/>
                <w:szCs w:val="20"/>
                <w:lang w:val="en-US"/>
              </w:rPr>
              <w:t>Podolyak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D028D6">
              <w:rPr>
                <w:sz w:val="20"/>
                <w:szCs w:val="20"/>
                <w:lang w:val="en-US"/>
              </w:rPr>
              <w:t>Kseniya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D028D6">
              <w:rPr>
                <w:sz w:val="20"/>
                <w:szCs w:val="20"/>
                <w:lang w:val="en-US"/>
              </w:rPr>
              <w:t>Vadimovna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D028D6">
              <w:rPr>
                <w:sz w:val="20"/>
                <w:szCs w:val="20"/>
                <w:lang w:val="en-US"/>
              </w:rPr>
              <w:t>laborator</w:t>
            </w:r>
            <w:r>
              <w:rPr>
                <w:sz w:val="20"/>
                <w:szCs w:val="20"/>
                <w:lang w:val="en-US"/>
              </w:rPr>
              <w:t>y worker</w:t>
            </w:r>
          </w:p>
        </w:tc>
      </w:tr>
      <w:tr w:rsidR="00A41FC1" w:rsidRPr="00FC1C4A" w:rsidTr="00FC1C4A">
        <w:trPr>
          <w:tblCellSpacing w:w="15" w:type="dxa"/>
        </w:trPr>
        <w:tc>
          <w:tcPr>
            <w:tcW w:w="2511" w:type="pct"/>
          </w:tcPr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</w:rPr>
              <w:t>Острожная</w:t>
            </w:r>
            <w:r w:rsidRPr="00D028D6"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Юлия</w:t>
            </w:r>
            <w:r w:rsidRPr="00D028D6"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Викторовна</w:t>
            </w:r>
          </w:p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</w:rPr>
              <w:t>студентка</w:t>
            </w:r>
          </w:p>
        </w:tc>
        <w:tc>
          <w:tcPr>
            <w:tcW w:w="2440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  <w:lang w:val="en-US"/>
              </w:rPr>
              <w:t>Ostroz</w:t>
            </w:r>
            <w:r>
              <w:rPr>
                <w:sz w:val="20"/>
                <w:szCs w:val="20"/>
                <w:lang w:val="en-US"/>
              </w:rPr>
              <w:t>h</w:t>
            </w:r>
            <w:r w:rsidRPr="005177AF">
              <w:rPr>
                <w:sz w:val="20"/>
                <w:szCs w:val="20"/>
                <w:lang w:val="en-US"/>
              </w:rPr>
              <w:t>naya</w:t>
            </w:r>
            <w:r>
              <w:rPr>
                <w:sz w:val="20"/>
                <w:szCs w:val="20"/>
                <w:lang w:val="en-US"/>
              </w:rPr>
              <w:t xml:space="preserve"> Y</w:t>
            </w:r>
            <w:r w:rsidRPr="005177AF">
              <w:rPr>
                <w:sz w:val="20"/>
                <w:szCs w:val="20"/>
              </w:rPr>
              <w:t>ulia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5177AF">
              <w:rPr>
                <w:sz w:val="20"/>
                <w:szCs w:val="20"/>
              </w:rPr>
              <w:t>Viktorovna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  <w:lang w:val="en-US"/>
              </w:rPr>
              <w:t>student</w:t>
            </w:r>
          </w:p>
        </w:tc>
      </w:tr>
      <w:tr w:rsidR="00A41FC1" w:rsidRPr="00D028D6" w:rsidTr="00FC1C4A">
        <w:trPr>
          <w:tblCellSpacing w:w="15" w:type="dxa"/>
        </w:trPr>
        <w:tc>
          <w:tcPr>
            <w:tcW w:w="2511" w:type="pct"/>
          </w:tcPr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i/>
                <w:sz w:val="20"/>
                <w:szCs w:val="20"/>
              </w:rPr>
            </w:pPr>
            <w:r w:rsidRPr="00D028D6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440" w:type="pct"/>
          </w:tcPr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i/>
                <w:sz w:val="20"/>
                <w:szCs w:val="20"/>
                <w:lang w:val="en-US"/>
              </w:rPr>
            </w:pPr>
            <w:r w:rsidRPr="00D028D6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A41FC1" w:rsidRPr="00F875E5" w:rsidTr="00FC1C4A">
        <w:trPr>
          <w:tblCellSpacing w:w="15" w:type="dxa"/>
        </w:trPr>
        <w:tc>
          <w:tcPr>
            <w:tcW w:w="2511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highlight w:val="red"/>
              </w:rPr>
            </w:pPr>
            <w:r w:rsidRPr="005177AF">
              <w:rPr>
                <w:sz w:val="20"/>
                <w:szCs w:val="20"/>
              </w:rPr>
              <w:t>В статье отражены результаты статистических исследований по посевным площадям однолетних кормовых трав в сельскохозяйственном производстве страны и отдельных её регионах. Изучена структура площадей в РФ. Представлен анализ площадей  однолетних кормовых культур в южном Федеральном Округе</w:t>
            </w:r>
            <w:bookmarkStart w:id="0" w:name="_GoBack"/>
            <w:bookmarkEnd w:id="0"/>
          </w:p>
        </w:tc>
        <w:tc>
          <w:tcPr>
            <w:tcW w:w="2440" w:type="pct"/>
          </w:tcPr>
          <w:p w:rsidR="00A41FC1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5177AF">
              <w:rPr>
                <w:sz w:val="20"/>
                <w:szCs w:val="20"/>
                <w:lang w:val="en-US"/>
              </w:rPr>
              <w:t xml:space="preserve">The article presents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177AF">
              <w:rPr>
                <w:sz w:val="20"/>
                <w:szCs w:val="20"/>
                <w:lang w:val="en-US"/>
              </w:rPr>
              <w:t xml:space="preserve">results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5177AF">
              <w:rPr>
                <w:sz w:val="20"/>
                <w:szCs w:val="20"/>
                <w:lang w:val="en-US"/>
              </w:rPr>
              <w:t xml:space="preserve">statistical studies on sowing area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5177AF">
              <w:rPr>
                <w:sz w:val="20"/>
                <w:szCs w:val="20"/>
                <w:lang w:val="en-US"/>
              </w:rPr>
              <w:t xml:space="preserve">one-year stern in agricultural production of the country and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5177AF">
              <w:rPr>
                <w:sz w:val="20"/>
                <w:szCs w:val="20"/>
                <w:lang w:val="en-US"/>
              </w:rPr>
              <w:t>separate region</w:t>
            </w:r>
            <w:r>
              <w:rPr>
                <w:sz w:val="20"/>
                <w:szCs w:val="20"/>
                <w:lang w:val="en-US"/>
              </w:rPr>
              <w:t>s</w:t>
            </w:r>
            <w:r w:rsidRPr="005177AF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We have also s</w:t>
            </w:r>
            <w:r w:rsidRPr="005177AF">
              <w:rPr>
                <w:sz w:val="20"/>
                <w:szCs w:val="20"/>
                <w:lang w:val="en-US"/>
              </w:rPr>
              <w:t xml:space="preserve">tudied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177AF">
              <w:rPr>
                <w:sz w:val="20"/>
                <w:szCs w:val="20"/>
                <w:lang w:val="en-US"/>
              </w:rPr>
              <w:t xml:space="preserve">structure of the areas in </w:t>
            </w:r>
            <w:r>
              <w:rPr>
                <w:sz w:val="20"/>
                <w:szCs w:val="20"/>
                <w:lang w:val="en-US"/>
              </w:rPr>
              <w:t>the Russian Federation and p</w:t>
            </w:r>
            <w:r w:rsidRPr="005177AF">
              <w:rPr>
                <w:sz w:val="20"/>
                <w:szCs w:val="20"/>
                <w:lang w:val="en-US"/>
              </w:rPr>
              <w:t xml:space="preserve">resented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177AF">
              <w:rPr>
                <w:sz w:val="20"/>
                <w:szCs w:val="20"/>
                <w:lang w:val="en-US"/>
              </w:rPr>
              <w:t xml:space="preserve">analysis of the areas of the one-year forage crops 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177AF">
              <w:rPr>
                <w:sz w:val="20"/>
                <w:szCs w:val="20"/>
                <w:lang w:val="en-US"/>
              </w:rPr>
              <w:t>sout</w:t>
            </w:r>
            <w:r>
              <w:rPr>
                <w:sz w:val="20"/>
                <w:szCs w:val="20"/>
                <w:lang w:val="en-US"/>
              </w:rPr>
              <w:t>h Federal County</w:t>
            </w:r>
          </w:p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41FC1" w:rsidRPr="00F875E5" w:rsidTr="00FC1C4A">
        <w:trPr>
          <w:tblCellSpacing w:w="15" w:type="dxa"/>
        </w:trPr>
        <w:tc>
          <w:tcPr>
            <w:tcW w:w="2511" w:type="pct"/>
          </w:tcPr>
          <w:p w:rsidR="00A41FC1" w:rsidRPr="00D028D6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5177AF">
              <w:rPr>
                <w:sz w:val="20"/>
                <w:szCs w:val="20"/>
              </w:rPr>
              <w:t>Ключевые слова: ОДНОЛЕТНИЕ  ТРАВЫ, ПОСЕВНЫЕ ПЛОЩАДИ, РЕГИОН ВОЗДЕЛЫВАНИЯ</w:t>
            </w:r>
          </w:p>
        </w:tc>
        <w:tc>
          <w:tcPr>
            <w:tcW w:w="2440" w:type="pct"/>
          </w:tcPr>
          <w:p w:rsidR="00A41FC1" w:rsidRPr="005177AF" w:rsidRDefault="00A41FC1" w:rsidP="00F875E5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Keywords: ANNUAL </w:t>
            </w:r>
            <w:r w:rsidRPr="005177AF">
              <w:rPr>
                <w:sz w:val="20"/>
                <w:szCs w:val="20"/>
                <w:lang w:val="en-US"/>
              </w:rPr>
              <w:t>GRASSES, CULTIVATION AREA, REGION OF CULTIVATION</w:t>
            </w:r>
          </w:p>
        </w:tc>
      </w:tr>
    </w:tbl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Pr="00FD5E71" w:rsidRDefault="00A41FC1" w:rsidP="00D028D6">
      <w:pPr>
        <w:spacing w:after="24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ab/>
      </w:r>
      <w:r w:rsidRPr="00FD5E71">
        <w:rPr>
          <w:bCs/>
          <w:sz w:val="28"/>
          <w:szCs w:val="28"/>
        </w:rPr>
        <w:t>Укрепление кормовой базы - одна из важнейших задач агропромышленного комплекса России. От её решения зависит не только развитие животноводства, но и обеспечение страны зерном, так как на кормовые цели уходит до двух третей его валовых сборов, а также стабилизация и повышение плодородия земель, поскольку при снижении уровня применения удобрений, роль в земледелии трав и других кормовых культур приобретает особую значимость.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В структуре посевных площадей кормовых культур однолетние травы занимают второе место после многолетних, в валовом производстве — третье (15-17%) после кукурузы и многолетних трав. В РФ возделывают более 20 видов однолетних трав, которые отличаются большим разнообразием по биологическим особенностям и кормовым достоинствам.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 культуру введены однолетние  кормовые травы семейства бобовых  - вика яровая, пелюшка, чина посевная, люпин жёлтый, сераделла, клевер инкарнатный и др.; и семейства злаков  - могар, суданская трава, райграс однолетний и др.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Однолетним травам принадлежит большая роль в создании прочной кормовой базы. В летний период они являются основным  источником производства зеленых кормов, служат для приготовления сена, сенажа, силоса, концентрированных кормов в виде травяной муки, резки, полнорационных брикетов и гранул. Однолетние бобовые травы можно применять и как концентрированный корм в виде зерна. Уборка трав в ранние фазы вегетации и при многоукосном использовании с применением искусственной сушки дает возможность получить корм, не уступающий по общей калорийности овсу и ячменю, а по содержанию протеина значительно превосходящий их [1].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Однолетние травы отличаются большим разнообразием по биологическим особенностям и кормовым достоинствам. Они имеют различный вегетационный период, неодинаково наращивают зеленую массу, их высевают в разные сроки. Например, райграс однолетний достигает уборочной спелости через 40 – 50 дней после посева, вика яровая  -  спустя 50 – 60 дней, суданская трава  -  через 65 – 70 дней. Однолетние злаковые травы с непродолжительным периодом вегетации, в частности суданскую траву, высевают в несколько сроков, что дает возможность наиболее полно использовать их в зеленом конвейере.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Широко используются они в качестве предварительных культур на землях коренного улучшения и в виде звеньев пастбищного конвейера. Высокой продуктивностью характеризуются как чистые, так и смешанные бобово-злаковые посевы [3].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Большинство однолетних трав и их смесей может использоваться в промежуточных посевах, а также в качестве парозанимающих и покровных культур при выращивании многолетних трав.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Однолетние травы, особенно бобовые, имеют важное агротехническое значение. Большинство из них являются хорошими предшественниками зерновых и технических культур. Возделывают их в кормовых и полевых севооборотах. Однолетние травы с коротким вегетационным периодом высевают после уборки зерновых культур, например озимых на зерно (пожнивные посевы), а также часто выращивают в занятых парах. При высоком урожае однолетние травы и их смеси хорошо подавляют сорняки и иногда накапливают перегной в почве[1].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 настоящее время однолетние травы недостаточно полно используются в сельскохозяйственном производстве. Одной из основных причин уменьшения посевных площадей и продуктивности кормовых культур стало снижение уровня материально-технического обеспечения кормопроизводства и уменьшение востребованности кормов, в связи со значительным уменьшением  объемов производства продукции животноводства.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По данным Федеральной службы государственной статистики [2] в Российской Федерации для производства кормов из однолетних трав, используется около 4680 тыс.  гектаров пахотных земель (таблица 1).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Анализ посевных площадей под однолетними травами в период с 2005 по 2010 годы свидетельствует о том, что больше всего трав однолетних посевов возделывали в 2005 году, начиная с 2006 года отмечался спад производства кормов из однолетних трав. К 2008 году общая площадь под однолетними травами  сократилась  на 604 тыс. га., это самые низкие показатели в рассматриваемом периоде. В дальнейшем с 2009 года отмечается тенденция к увеличению посевов, и к 2010 году они составляют 4679,9 тыс. га., что соответствует объемам 2006 года. </w:t>
      </w:r>
    </w:p>
    <w:p w:rsidR="00A41FC1" w:rsidRPr="00FD5E71" w:rsidRDefault="00A41FC1" w:rsidP="00546091">
      <w:pPr>
        <w:tabs>
          <w:tab w:val="left" w:pos="4920"/>
        </w:tabs>
        <w:spacing w:after="240"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Таблица 1 - Посевные площади однолетних трав в федеральных округах РФ (тыс. га)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301"/>
        <w:gridCol w:w="1250"/>
        <w:gridCol w:w="1276"/>
        <w:gridCol w:w="1134"/>
        <w:gridCol w:w="1134"/>
        <w:gridCol w:w="1134"/>
      </w:tblGrid>
      <w:tr w:rsidR="00A41FC1" w:rsidRPr="00FD5E71" w:rsidTr="005177AF">
        <w:trPr>
          <w:trHeight w:val="625"/>
        </w:trPr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Округ</w:t>
            </w:r>
          </w:p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2005 г.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2006 г.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2007 г.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2008 г.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2009 г.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2010 г.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Российская Федерация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4 930,25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4 639,65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4 488,65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4 326,1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4 487,9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4 679,9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Дальневосточный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47,86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46,54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54,64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50,6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54,2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58,7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Приволжский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1 688,54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1 497,5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1 458,48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1 316,6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1 330,4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1 410,7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Северо-Западный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52,12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50,61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48,64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61,5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66,3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56,2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Северо-Кавказский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214,6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225,3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223,5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Сибирский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1 210,04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1 253,53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1 225,34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1 230,0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1 274,6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1 423,7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Уральский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476,03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485,88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457,88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473,7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531,3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557,4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Центральный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912,59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802,32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745,56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719,6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749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684,9</w:t>
            </w:r>
          </w:p>
        </w:tc>
      </w:tr>
      <w:tr w:rsidR="00A41FC1" w:rsidRPr="00FD5E71" w:rsidTr="005177AF">
        <w:tc>
          <w:tcPr>
            <w:tcW w:w="2235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 xml:space="preserve">Южный </w:t>
            </w:r>
          </w:p>
        </w:tc>
        <w:tc>
          <w:tcPr>
            <w:tcW w:w="1301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543,08</w:t>
            </w:r>
          </w:p>
        </w:tc>
        <w:tc>
          <w:tcPr>
            <w:tcW w:w="125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503,26</w:t>
            </w:r>
          </w:p>
        </w:tc>
        <w:tc>
          <w:tcPr>
            <w:tcW w:w="127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498,12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474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482,1</w:t>
            </w:r>
          </w:p>
        </w:tc>
        <w:tc>
          <w:tcPr>
            <w:tcW w:w="1134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488,3</w:t>
            </w:r>
          </w:p>
        </w:tc>
      </w:tr>
    </w:tbl>
    <w:p w:rsidR="00A41FC1" w:rsidRPr="00FD5E71" w:rsidRDefault="00A41FC1" w:rsidP="0023040B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Большое разнообразие однолетних кормовых трав позволяет им адаптироваться к природно-климатическим условиям большинства регионов России. Возделыванием однолетних трав занимаются  во всех восьми округах Российской Федерации. В зависимости от природно-климатических и экономических условий каждый из округов высевает различное количество трав и отводит под них соответствующие площади сельскохозяйственных угодий.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Основная часть посевов однолетних трав в РФ сосредоточена в Приволжском и Сибирском округах, именно здесь высевается до 60% всех площадей. Уральский, Центральный и Южный округа возделывают около 1730 тыс. га однолетних трав, что составляет 35% от общей площади. Незначительные площади отводятся под однолетние посевы трав  в Северо-Кавказском, Северо-Западном и Дальневосточном регионах (рисунок 1).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5177A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8.6pt;height:241.8pt;visibility:visible">
            <v:imagedata r:id="rId7" o:title="" croptop="-1354f" cropbottom="-1354f" cropleft="-6962f" cropright="-2372f"/>
            <o:lock v:ext="edit" aspectratio="f"/>
          </v:shape>
        </w:pict>
      </w:r>
    </w:p>
    <w:p w:rsidR="00A41FC1" w:rsidRDefault="00A41FC1" w:rsidP="00546091">
      <w:pPr>
        <w:tabs>
          <w:tab w:val="left" w:pos="4920"/>
        </w:tabs>
        <w:spacing w:after="240"/>
        <w:contextualSpacing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Рисунок 1. Структура посевных площадей однолетних трав  </w:t>
      </w:r>
    </w:p>
    <w:p w:rsidR="00A41FC1" w:rsidRDefault="00A41FC1" w:rsidP="00546091">
      <w:pPr>
        <w:tabs>
          <w:tab w:val="left" w:pos="4920"/>
        </w:tabs>
        <w:spacing w:after="240"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по округам РФ.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Южный Федеральный округ возделывает разные виды бобовых и злаковых однолетних трав, в среднем под этими культурами занято около 500 тыс.га сельскохозяйственных земель. Распределение такого объема посевов по годам разнообразно. Больше всего высевалось трав в    2005 году  - 543 тыс. га, это наибольшие показатели за период 2005-2010 годы. В дальнейшем в ЮФО наблюдается спад производства данных культур, как и в целом по РФ, к 2006 году посевные площади уменьшились на 40 тыс. га, к 2007 году на 45 тыс. га,  к 2008 году на 69 тыс. га в сравнении с 2005 годом. Однако</w:t>
      </w:r>
      <w:r w:rsidRPr="00D028D6">
        <w:rPr>
          <w:bCs/>
          <w:sz w:val="28"/>
          <w:szCs w:val="28"/>
        </w:rPr>
        <w:t>,</w:t>
      </w:r>
      <w:r w:rsidRPr="00FD5E71">
        <w:rPr>
          <w:bCs/>
          <w:sz w:val="28"/>
          <w:szCs w:val="28"/>
        </w:rPr>
        <w:t xml:space="preserve"> начиная с 2009 года</w:t>
      </w:r>
      <w:r w:rsidRPr="00D028D6">
        <w:rPr>
          <w:bCs/>
          <w:sz w:val="28"/>
          <w:szCs w:val="28"/>
        </w:rPr>
        <w:t>,</w:t>
      </w:r>
      <w:r w:rsidRPr="00FD5E71">
        <w:rPr>
          <w:bCs/>
          <w:sz w:val="28"/>
          <w:szCs w:val="28"/>
        </w:rPr>
        <w:t xml:space="preserve"> хозяйства округа  вновь возвращаются к посевам однолетних трав, так как это необходимое звено в полевых и кормовых севооборотах, и к 2010 году посевные площади стабилизируются на уровне 488 тыс. га (рисунок 2).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5177AF">
        <w:rPr>
          <w:noProof/>
          <w:sz w:val="28"/>
          <w:szCs w:val="28"/>
        </w:rPr>
        <w:pict>
          <v:shape id="Диаграмма 2" o:spid="_x0000_i1026" type="#_x0000_t75" style="width:409.2pt;height:194.4pt;visibility:visible">
            <v:imagedata r:id="rId8" o:title="" croptop="-2216f" cropbottom="-1188f" cropleft="-1143f" cropright="-4590f"/>
            <o:lock v:ext="edit" aspectratio="f"/>
          </v:shape>
        </w:pict>
      </w:r>
    </w:p>
    <w:p w:rsidR="00A41FC1" w:rsidRDefault="00A41FC1" w:rsidP="00A61CE6">
      <w:pPr>
        <w:tabs>
          <w:tab w:val="left" w:pos="4920"/>
        </w:tabs>
        <w:spacing w:after="240" w:line="360" w:lineRule="auto"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Рисунок 2. Посевные площади однолетних травв ЮФО, тыс. га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Внутри округа травы возделываются во всех шести субъектах, но основное производство сосредоточено в Краснодарском крае, Ростовской и Волгоградской областях (таблица 2, рисунок 2).</w:t>
      </w:r>
    </w:p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  <w:r w:rsidRPr="00FD5E71">
        <w:rPr>
          <w:bCs/>
          <w:sz w:val="28"/>
          <w:szCs w:val="28"/>
        </w:rPr>
        <w:t xml:space="preserve">Краснодарский край ежегодно высевает около 100 тыс. га однолетних трав, что составляет более 40% от общей площади округа. Посевы трав востребованы животноводством, они используются как для получения раннего зеленого корма, так и для производства силоса и сенажа. </w:t>
      </w:r>
    </w:p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Pr="00D028D6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  <w:lang w:val="en-US"/>
        </w:rPr>
      </w:pPr>
    </w:p>
    <w:p w:rsidR="00A41FC1" w:rsidRDefault="00A41FC1" w:rsidP="00827189">
      <w:pPr>
        <w:tabs>
          <w:tab w:val="left" w:pos="4920"/>
        </w:tabs>
        <w:spacing w:after="240"/>
        <w:contextualSpacing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Таблица 2 - Посевные площади однолетних трав в</w:t>
      </w:r>
    </w:p>
    <w:p w:rsidR="00A41FC1" w:rsidRDefault="00A41FC1" w:rsidP="00827189">
      <w:pPr>
        <w:tabs>
          <w:tab w:val="left" w:pos="4920"/>
        </w:tabs>
        <w:spacing w:after="240"/>
        <w:contextualSpacing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субъектах ЮФО (тыс. га)</w:t>
      </w:r>
    </w:p>
    <w:p w:rsidR="00A41FC1" w:rsidRPr="00FD5E71" w:rsidRDefault="00A41FC1" w:rsidP="00827189">
      <w:pPr>
        <w:tabs>
          <w:tab w:val="left" w:pos="4920"/>
        </w:tabs>
        <w:spacing w:after="24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1179"/>
        <w:gridCol w:w="1052"/>
        <w:gridCol w:w="1066"/>
        <w:gridCol w:w="1079"/>
        <w:gridCol w:w="1109"/>
        <w:gridCol w:w="1139"/>
      </w:tblGrid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Субъект округа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2005 г.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2006 г.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2007 г.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2008 г.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2009 г.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2010 г.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Астраханская область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1,9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2,09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2,45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3,3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3,3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4,1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Волгоградская область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57,1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58,29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58,13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61,1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55,9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49,9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Краснодарский край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119,06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105,94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110,3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104,8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99,8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Республика Адыгея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4,44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2,65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1,5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2,2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2,8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2,4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Республика Калмыкия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21,84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19,55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15,66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13,8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19,6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35,2</w:t>
            </w:r>
          </w:p>
        </w:tc>
      </w:tr>
      <w:tr w:rsidR="00A41FC1" w:rsidRPr="00FD5E71" w:rsidTr="005177AF">
        <w:tc>
          <w:tcPr>
            <w:tcW w:w="2660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Ростовская область</w:t>
            </w:r>
          </w:p>
        </w:tc>
        <w:tc>
          <w:tcPr>
            <w:tcW w:w="11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77,9</w:t>
            </w:r>
          </w:p>
        </w:tc>
        <w:tc>
          <w:tcPr>
            <w:tcW w:w="1052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75,79</w:t>
            </w:r>
          </w:p>
        </w:tc>
        <w:tc>
          <w:tcPr>
            <w:tcW w:w="1066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75,77</w:t>
            </w:r>
          </w:p>
        </w:tc>
        <w:tc>
          <w:tcPr>
            <w:tcW w:w="107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68,7</w:t>
            </w:r>
          </w:p>
        </w:tc>
        <w:tc>
          <w:tcPr>
            <w:tcW w:w="110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70,4</w:t>
            </w:r>
          </w:p>
        </w:tc>
        <w:tc>
          <w:tcPr>
            <w:tcW w:w="1139" w:type="dxa"/>
          </w:tcPr>
          <w:p w:rsidR="00A41FC1" w:rsidRPr="005177AF" w:rsidRDefault="00A41FC1" w:rsidP="005177AF">
            <w:pPr>
              <w:tabs>
                <w:tab w:val="left" w:pos="4920"/>
              </w:tabs>
              <w:spacing w:after="240"/>
              <w:contextualSpacing/>
              <w:jc w:val="both"/>
              <w:rPr>
                <w:bCs/>
                <w:sz w:val="28"/>
                <w:szCs w:val="28"/>
              </w:rPr>
            </w:pPr>
            <w:r w:rsidRPr="005177AF">
              <w:rPr>
                <w:bCs/>
                <w:sz w:val="28"/>
                <w:szCs w:val="28"/>
              </w:rPr>
              <w:t>73,4</w:t>
            </w:r>
          </w:p>
        </w:tc>
      </w:tr>
    </w:tbl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Благодаря высокой засухоустойчивости в крае, широко распространенна суданская трава, которая обладает довольно длинным вегетационным периодом, и хорошо использует осадки второй половины лета. Много в крае высевается бобовых однолетних трав, которые имея высокие кормовые достоинства, являются хорошим предшественником для последующих культур.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Но в общем объеме производства кормов из однолетних трав  по краю начиная с 2008 года, отмечается тенденция снижения посевных площадей.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Волгоградская  и Ростовская области высевают однолетних кормовых культур  около 35 – 50 тыс. га, что соответствует 21 – 28 % общей структуры площади округа. Посевные площади незначительно колеблются по годам.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 Ростовской области  в 2005 году было занято однолетними кормовыми травами  около 78 тыс. га., а к 2008 году они сократились на 10 тыс. га, в дальнейшем наблюдается тенденция восстановления площадей.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Волгоградская область возделывает однолетних трав около 50 тыс.га, анализ посевных площадей за последние три года показывает снижение уровня использования этих культур. Если в 2008 году высевали 61 тыс. га, то к 2010 году эти показатели снизились на 11,2 тыс.га.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Показатели Астраханской области хотя и незначительные в общем клине округа, но год от года увеличиваются.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Республика Калмыкия в 2010 году возделывала 35,2 тыс. га однолетних кормовых трав, что на 21,4 тыс. га больше чем в 2008 году.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5177AF">
        <w:rPr>
          <w:noProof/>
          <w:sz w:val="28"/>
          <w:szCs w:val="28"/>
        </w:rPr>
        <w:pict>
          <v:shape id="Диаграмма 4" o:spid="_x0000_i1027" type="#_x0000_t75" style="width:470.4pt;height:225.6pt;visibility:visible">
            <v:imagedata r:id="rId9" o:title="" croptop="-7602f" cropbottom="-1391f" cropleft="-9118f" cropright="-3143f"/>
            <o:lock v:ext="edit" aspectratio="f"/>
          </v:shape>
        </w:pict>
      </w:r>
    </w:p>
    <w:p w:rsidR="00A41FC1" w:rsidRPr="00FD5E71" w:rsidRDefault="00A41FC1" w:rsidP="00827189">
      <w:pPr>
        <w:tabs>
          <w:tab w:val="left" w:pos="4920"/>
        </w:tabs>
        <w:spacing w:after="240" w:line="360" w:lineRule="auto"/>
        <w:jc w:val="center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Рисунок 2. Структура посевных площадей однолетних трав  в ЮФО.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Таким образом, однолетние кормовые травы остаются необходимым и востребованным звеном сельскохозяйственного производства как страны в целом, так и отдельно взятого округа. Увеличение площадей под данными культурами позволит осуществлять малозатратный комплекс агротехнических мер по борьбе с сорной растительностью, и получить одновременно высокую урожайность озимых зерновых культур.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Важным направлением интенсификации возделывания однолетних трав должно стать совершенствование структуры их посевных площадей за счет расширения посевов злаково-бобовых смесей. 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Высока роль кормовых культур в биологизации земледелия. Сохранение и повышение плодородия почвы как основного средства производства АПК является государственной проблемой. В решении ее особую значимость имеют кормовые культуры, средообразующая роль которых определяется многими факторами, прежде всего, высоким удельным весом их в структуре землепользования, поступлением в почву большого количества растительных остатков, обогащением почвы биологическим азотом за счет возделывания бобовых культур, защитой почв от эрозии и охраной окружающей среды.</w:t>
      </w:r>
    </w:p>
    <w:p w:rsidR="00A41FC1" w:rsidRPr="00FD5E71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>Видовой состав однолетних культур и севообороты должны соответствовать конкретным почвенно-климатическим условиям регионов.</w:t>
      </w:r>
    </w:p>
    <w:p w:rsidR="00A41FC1" w:rsidRPr="001D59D5" w:rsidRDefault="00A41FC1" w:rsidP="00FD5E71">
      <w:pPr>
        <w:tabs>
          <w:tab w:val="left" w:pos="4920"/>
        </w:tabs>
        <w:spacing w:after="240" w:line="360" w:lineRule="auto"/>
        <w:jc w:val="both"/>
        <w:rPr>
          <w:bCs/>
          <w:sz w:val="28"/>
          <w:szCs w:val="28"/>
        </w:rPr>
      </w:pPr>
      <w:r w:rsidRPr="00FD5E71">
        <w:rPr>
          <w:bCs/>
          <w:sz w:val="28"/>
          <w:szCs w:val="28"/>
        </w:rPr>
        <w:t xml:space="preserve">Восстановление площадей под однолетними травами позволит повысить урожайность  сельскохозяйственных культур, обеспечит животных полноценными кормами, способствует получению экологически безопасной продукции. </w:t>
      </w:r>
    </w:p>
    <w:p w:rsidR="00A41FC1" w:rsidRDefault="00A41FC1" w:rsidP="00541A04"/>
    <w:p w:rsidR="00A41FC1" w:rsidRDefault="00A41FC1" w:rsidP="00541A04">
      <w:pPr>
        <w:rPr>
          <w:b/>
          <w:lang w:val="en-US"/>
        </w:rPr>
      </w:pPr>
      <w:r w:rsidRPr="00D028D6">
        <w:rPr>
          <w:b/>
        </w:rPr>
        <w:t>Использованная литература</w:t>
      </w:r>
    </w:p>
    <w:p w:rsidR="00A41FC1" w:rsidRPr="00D028D6" w:rsidRDefault="00A41FC1" w:rsidP="00541A04">
      <w:pPr>
        <w:rPr>
          <w:b/>
          <w:lang w:val="en-US"/>
        </w:rPr>
      </w:pPr>
    </w:p>
    <w:p w:rsidR="00A41FC1" w:rsidRPr="00FD5E71" w:rsidRDefault="00A41FC1" w:rsidP="00FD5E71">
      <w:r>
        <w:t xml:space="preserve">1. </w:t>
      </w:r>
      <w:r w:rsidRPr="00FD5E71">
        <w:t xml:space="preserve">Кормовые травы. </w:t>
      </w:r>
      <w:r w:rsidRPr="00FD5E71">
        <w:rPr>
          <w:bCs/>
        </w:rPr>
        <w:t>Рекомендации и методические указания/Белорусская государственная сельскохозяйственная академия. С.С Камасин, М.М.Волков, В.Г. Таранух, В.Н. Караульный. Горки, 2005. 60 с.</w:t>
      </w:r>
    </w:p>
    <w:p w:rsidR="00A41FC1" w:rsidRPr="00FD5E71" w:rsidRDefault="00A41FC1" w:rsidP="00FD5E71">
      <w:pPr>
        <w:tabs>
          <w:tab w:val="left" w:pos="0"/>
        </w:tabs>
      </w:pPr>
      <w:r>
        <w:t xml:space="preserve">2. </w:t>
      </w:r>
      <w:r w:rsidRPr="00FD5E71">
        <w:t>Федеральная служба государственной статистики [Электронный ресурс]. – режим доступа: http://www.</w:t>
      </w:r>
      <w:r w:rsidRPr="00FD5E71">
        <w:rPr>
          <w:lang w:val="en-US"/>
        </w:rPr>
        <w:t>cdsb</w:t>
      </w:r>
      <w:r w:rsidRPr="00FD5E71">
        <w:t>.</w:t>
      </w:r>
      <w:r w:rsidRPr="00FD5E71">
        <w:rPr>
          <w:lang w:val="en-US"/>
        </w:rPr>
        <w:t>gks</w:t>
      </w:r>
      <w:r w:rsidRPr="00FD5E71">
        <w:t>.</w:t>
      </w:r>
      <w:r w:rsidRPr="00FD5E71">
        <w:rPr>
          <w:lang w:val="en-US"/>
        </w:rPr>
        <w:t>ru</w:t>
      </w:r>
    </w:p>
    <w:p w:rsidR="00A41FC1" w:rsidRPr="00FD5E71" w:rsidRDefault="00A41FC1" w:rsidP="00FD5E71">
      <w:r>
        <w:t xml:space="preserve">3. </w:t>
      </w:r>
      <w:r w:rsidRPr="00FD5E71">
        <w:t>Частная селекция полевых культур. / В. В. Пыльнев, Ю. Б. Коновалов, Т. И. Хупацария и др./ Под ред. В. В. Пыльнева. – М.: КолосС, 2005.</w:t>
      </w:r>
    </w:p>
    <w:p w:rsidR="00A41FC1" w:rsidRPr="00F875E5" w:rsidRDefault="00A41FC1" w:rsidP="00541A04"/>
    <w:p w:rsidR="00A41FC1" w:rsidRDefault="00A41FC1" w:rsidP="00FC1C4A">
      <w:pPr>
        <w:rPr>
          <w:b/>
          <w:lang w:val="en-US"/>
        </w:rPr>
      </w:pPr>
      <w:r>
        <w:rPr>
          <w:b/>
          <w:lang w:val="en-US"/>
        </w:rPr>
        <w:t>References</w:t>
      </w:r>
    </w:p>
    <w:p w:rsidR="00A41FC1" w:rsidRPr="00D028D6" w:rsidRDefault="00A41FC1" w:rsidP="00FC1C4A">
      <w:pPr>
        <w:rPr>
          <w:b/>
        </w:rPr>
      </w:pPr>
    </w:p>
    <w:p w:rsidR="00A41FC1" w:rsidRPr="00F875E5" w:rsidRDefault="00A41FC1" w:rsidP="00FC1C4A">
      <w:r w:rsidRPr="00F875E5">
        <w:t xml:space="preserve">1. </w:t>
      </w:r>
      <w:r w:rsidRPr="00FC1C4A">
        <w:rPr>
          <w:lang w:val="en-US"/>
        </w:rPr>
        <w:t>Kormovye</w:t>
      </w:r>
      <w:r w:rsidRPr="00D028D6">
        <w:t xml:space="preserve"> </w:t>
      </w:r>
      <w:r w:rsidRPr="00FC1C4A">
        <w:rPr>
          <w:lang w:val="en-US"/>
        </w:rPr>
        <w:t>travy</w:t>
      </w:r>
      <w:r w:rsidRPr="00F875E5">
        <w:t xml:space="preserve">. </w:t>
      </w:r>
      <w:r w:rsidRPr="00FC1C4A">
        <w:rPr>
          <w:lang w:val="en-US"/>
        </w:rPr>
        <w:t>Rekomendacii</w:t>
      </w:r>
      <w:r w:rsidRPr="00D028D6">
        <w:t xml:space="preserve"> </w:t>
      </w:r>
      <w:r>
        <w:rPr>
          <w:lang w:val="en-US"/>
        </w:rPr>
        <w:t>I</w:t>
      </w:r>
      <w:r w:rsidRPr="00D028D6">
        <w:t xml:space="preserve"> </w:t>
      </w:r>
      <w:r w:rsidRPr="00FC1C4A">
        <w:rPr>
          <w:lang w:val="en-US"/>
        </w:rPr>
        <w:t>metodicheskie</w:t>
      </w:r>
      <w:r w:rsidRPr="00D028D6">
        <w:t xml:space="preserve"> </w:t>
      </w:r>
      <w:r w:rsidRPr="00FC1C4A">
        <w:rPr>
          <w:lang w:val="en-US"/>
        </w:rPr>
        <w:t>ukazanija</w:t>
      </w:r>
      <w:r w:rsidRPr="00F875E5">
        <w:t>/</w:t>
      </w:r>
      <w:r w:rsidRPr="00FC1C4A">
        <w:rPr>
          <w:lang w:val="en-US"/>
        </w:rPr>
        <w:t>Belorusskaja</w:t>
      </w:r>
      <w:r w:rsidRPr="00D028D6">
        <w:t xml:space="preserve"> </w:t>
      </w:r>
      <w:r w:rsidRPr="00FC1C4A">
        <w:rPr>
          <w:lang w:val="en-US"/>
        </w:rPr>
        <w:t>gosudarstvennaja</w:t>
      </w:r>
      <w:r w:rsidRPr="00D028D6">
        <w:t xml:space="preserve"> </w:t>
      </w:r>
      <w:r w:rsidRPr="00FC1C4A">
        <w:rPr>
          <w:lang w:val="en-US"/>
        </w:rPr>
        <w:t>sel</w:t>
      </w:r>
      <w:r w:rsidRPr="00F875E5">
        <w:t>'</w:t>
      </w:r>
      <w:r w:rsidRPr="00FC1C4A">
        <w:rPr>
          <w:lang w:val="en-US"/>
        </w:rPr>
        <w:t>skohozjajstvennaja</w:t>
      </w:r>
      <w:r w:rsidRPr="00D028D6">
        <w:t xml:space="preserve"> </w:t>
      </w:r>
      <w:r w:rsidRPr="00FC1C4A">
        <w:rPr>
          <w:lang w:val="en-US"/>
        </w:rPr>
        <w:t>akademija</w:t>
      </w:r>
      <w:r w:rsidRPr="00F875E5">
        <w:t xml:space="preserve">. </w:t>
      </w:r>
      <w:r w:rsidRPr="00FC1C4A">
        <w:rPr>
          <w:lang w:val="en-US"/>
        </w:rPr>
        <w:t>S</w:t>
      </w:r>
      <w:r w:rsidRPr="00F875E5">
        <w:t>.</w:t>
      </w:r>
      <w:r w:rsidRPr="00FC1C4A">
        <w:rPr>
          <w:lang w:val="en-US"/>
        </w:rPr>
        <w:t>S</w:t>
      </w:r>
      <w:r w:rsidRPr="00F875E5">
        <w:t xml:space="preserve"> </w:t>
      </w:r>
      <w:r w:rsidRPr="00FC1C4A">
        <w:rPr>
          <w:lang w:val="en-US"/>
        </w:rPr>
        <w:t>Kamasin</w:t>
      </w:r>
      <w:r w:rsidRPr="00F875E5">
        <w:t xml:space="preserve">, </w:t>
      </w:r>
      <w:r w:rsidRPr="00FC1C4A">
        <w:rPr>
          <w:lang w:val="en-US"/>
        </w:rPr>
        <w:t>M</w:t>
      </w:r>
      <w:r w:rsidRPr="00F875E5">
        <w:t>.</w:t>
      </w:r>
      <w:r w:rsidRPr="00FC1C4A">
        <w:rPr>
          <w:lang w:val="en-US"/>
        </w:rPr>
        <w:t>M</w:t>
      </w:r>
      <w:r w:rsidRPr="00F875E5">
        <w:t>.</w:t>
      </w:r>
      <w:r w:rsidRPr="00FC1C4A">
        <w:rPr>
          <w:lang w:val="en-US"/>
        </w:rPr>
        <w:t>Volkov</w:t>
      </w:r>
      <w:r w:rsidRPr="00F875E5">
        <w:t xml:space="preserve">, </w:t>
      </w:r>
      <w:r w:rsidRPr="00FC1C4A">
        <w:rPr>
          <w:lang w:val="en-US"/>
        </w:rPr>
        <w:t>V</w:t>
      </w:r>
      <w:r w:rsidRPr="00F875E5">
        <w:t>.</w:t>
      </w:r>
      <w:r w:rsidRPr="00FC1C4A">
        <w:rPr>
          <w:lang w:val="en-US"/>
        </w:rPr>
        <w:t>G</w:t>
      </w:r>
      <w:r w:rsidRPr="00F875E5">
        <w:t xml:space="preserve">. </w:t>
      </w:r>
      <w:r w:rsidRPr="00FC1C4A">
        <w:rPr>
          <w:lang w:val="en-US"/>
        </w:rPr>
        <w:t>Taranuh</w:t>
      </w:r>
      <w:r w:rsidRPr="00F875E5">
        <w:t xml:space="preserve">, </w:t>
      </w:r>
      <w:r w:rsidRPr="00FC1C4A">
        <w:rPr>
          <w:lang w:val="en-US"/>
        </w:rPr>
        <w:t>V</w:t>
      </w:r>
      <w:r w:rsidRPr="00F875E5">
        <w:t>.</w:t>
      </w:r>
      <w:r w:rsidRPr="00FC1C4A">
        <w:rPr>
          <w:lang w:val="en-US"/>
        </w:rPr>
        <w:t>N</w:t>
      </w:r>
      <w:r w:rsidRPr="00F875E5">
        <w:t xml:space="preserve">. </w:t>
      </w:r>
      <w:r w:rsidRPr="00FC1C4A">
        <w:rPr>
          <w:lang w:val="en-US"/>
        </w:rPr>
        <w:t>Karaul</w:t>
      </w:r>
      <w:r w:rsidRPr="00F875E5">
        <w:t>'</w:t>
      </w:r>
      <w:r w:rsidRPr="00FC1C4A">
        <w:rPr>
          <w:lang w:val="en-US"/>
        </w:rPr>
        <w:t>nyj</w:t>
      </w:r>
      <w:r w:rsidRPr="00F875E5">
        <w:t xml:space="preserve">. </w:t>
      </w:r>
      <w:r w:rsidRPr="00FC1C4A">
        <w:rPr>
          <w:lang w:val="en-US"/>
        </w:rPr>
        <w:t>Gorki</w:t>
      </w:r>
      <w:r w:rsidRPr="00F875E5">
        <w:t xml:space="preserve">, 2005.60 </w:t>
      </w:r>
      <w:r w:rsidRPr="00FC1C4A">
        <w:rPr>
          <w:lang w:val="en-US"/>
        </w:rPr>
        <w:t>s</w:t>
      </w:r>
      <w:r w:rsidRPr="00F875E5">
        <w:t>.</w:t>
      </w:r>
    </w:p>
    <w:p w:rsidR="00A41FC1" w:rsidRPr="00D028D6" w:rsidRDefault="00A41FC1" w:rsidP="00FC1C4A">
      <w:pPr>
        <w:rPr>
          <w:lang w:val="en-US"/>
        </w:rPr>
      </w:pPr>
      <w:r w:rsidRPr="00D028D6">
        <w:rPr>
          <w:lang w:val="en-US"/>
        </w:rPr>
        <w:t xml:space="preserve">2. </w:t>
      </w:r>
      <w:r w:rsidRPr="00FC1C4A">
        <w:rPr>
          <w:lang w:val="en-US"/>
        </w:rPr>
        <w:t>Federal</w:t>
      </w:r>
      <w:r w:rsidRPr="00D028D6">
        <w:rPr>
          <w:lang w:val="en-US"/>
        </w:rPr>
        <w:t>'</w:t>
      </w:r>
      <w:r w:rsidRPr="00FC1C4A">
        <w:rPr>
          <w:lang w:val="en-US"/>
        </w:rPr>
        <w:t>naja</w:t>
      </w:r>
      <w:r>
        <w:rPr>
          <w:lang w:val="en-US"/>
        </w:rPr>
        <w:t xml:space="preserve"> </w:t>
      </w:r>
      <w:r w:rsidRPr="00FC1C4A">
        <w:rPr>
          <w:lang w:val="en-US"/>
        </w:rPr>
        <w:t>sluzhba</w:t>
      </w:r>
      <w:r>
        <w:rPr>
          <w:lang w:val="en-US"/>
        </w:rPr>
        <w:t xml:space="preserve"> </w:t>
      </w:r>
      <w:r w:rsidRPr="00FC1C4A">
        <w:rPr>
          <w:lang w:val="en-US"/>
        </w:rPr>
        <w:t>gosudarstvennoj</w:t>
      </w:r>
      <w:r>
        <w:rPr>
          <w:lang w:val="en-US"/>
        </w:rPr>
        <w:t xml:space="preserve"> </w:t>
      </w:r>
      <w:r w:rsidRPr="00FC1C4A">
        <w:rPr>
          <w:lang w:val="en-US"/>
        </w:rPr>
        <w:t>statistiki</w:t>
      </w:r>
      <w:r w:rsidRPr="00D028D6">
        <w:rPr>
          <w:lang w:val="en-US"/>
        </w:rPr>
        <w:t xml:space="preserve"> [</w:t>
      </w:r>
      <w:r w:rsidRPr="00FC1C4A">
        <w:rPr>
          <w:lang w:val="en-US"/>
        </w:rPr>
        <w:t>Jelektronnyjresurs</w:t>
      </w:r>
      <w:r w:rsidRPr="00D028D6">
        <w:rPr>
          <w:lang w:val="en-US"/>
        </w:rPr>
        <w:t xml:space="preserve">]. – </w:t>
      </w:r>
      <w:r w:rsidRPr="00FC1C4A">
        <w:rPr>
          <w:lang w:val="en-US"/>
        </w:rPr>
        <w:t>rezhim</w:t>
      </w:r>
      <w:r>
        <w:rPr>
          <w:lang w:val="en-US"/>
        </w:rPr>
        <w:t xml:space="preserve"> </w:t>
      </w:r>
      <w:r w:rsidRPr="00FC1C4A">
        <w:rPr>
          <w:lang w:val="en-US"/>
        </w:rPr>
        <w:t>dostupa</w:t>
      </w:r>
      <w:r w:rsidRPr="00D028D6">
        <w:rPr>
          <w:lang w:val="en-US"/>
        </w:rPr>
        <w:t xml:space="preserve">: </w:t>
      </w:r>
      <w:r w:rsidRPr="00FC1C4A">
        <w:rPr>
          <w:lang w:val="en-US"/>
        </w:rPr>
        <w:t>http</w:t>
      </w:r>
      <w:r w:rsidRPr="00D028D6">
        <w:rPr>
          <w:lang w:val="en-US"/>
        </w:rPr>
        <w:t>://</w:t>
      </w:r>
      <w:r w:rsidRPr="00FC1C4A">
        <w:rPr>
          <w:lang w:val="en-US"/>
        </w:rPr>
        <w:t>www</w:t>
      </w:r>
      <w:r w:rsidRPr="00D028D6">
        <w:rPr>
          <w:lang w:val="en-US"/>
        </w:rPr>
        <w:t>.</w:t>
      </w:r>
      <w:r w:rsidRPr="00FC1C4A">
        <w:rPr>
          <w:lang w:val="en-US"/>
        </w:rPr>
        <w:t>cdsb</w:t>
      </w:r>
      <w:r w:rsidRPr="00D028D6">
        <w:rPr>
          <w:lang w:val="en-US"/>
        </w:rPr>
        <w:t>.</w:t>
      </w:r>
      <w:r w:rsidRPr="00FC1C4A">
        <w:rPr>
          <w:lang w:val="en-US"/>
        </w:rPr>
        <w:t>gks</w:t>
      </w:r>
      <w:r w:rsidRPr="00D028D6">
        <w:rPr>
          <w:lang w:val="en-US"/>
        </w:rPr>
        <w:t>.</w:t>
      </w:r>
      <w:r w:rsidRPr="00FC1C4A">
        <w:rPr>
          <w:lang w:val="en-US"/>
        </w:rPr>
        <w:t>ru</w:t>
      </w:r>
      <w:r w:rsidRPr="00D028D6">
        <w:rPr>
          <w:lang w:val="en-US"/>
        </w:rPr>
        <w:t xml:space="preserve"> </w:t>
      </w:r>
    </w:p>
    <w:p w:rsidR="00A41FC1" w:rsidRPr="00FC1C4A" w:rsidRDefault="00A41FC1" w:rsidP="00FC1C4A">
      <w:pPr>
        <w:rPr>
          <w:lang w:val="en-US"/>
        </w:rPr>
      </w:pPr>
      <w:r w:rsidRPr="00D028D6">
        <w:rPr>
          <w:lang w:val="en-US"/>
        </w:rPr>
        <w:t xml:space="preserve">3. </w:t>
      </w:r>
      <w:r w:rsidRPr="00FC1C4A">
        <w:rPr>
          <w:lang w:val="en-US"/>
        </w:rPr>
        <w:t>Chastnaja</w:t>
      </w:r>
      <w:r>
        <w:rPr>
          <w:lang w:val="en-US"/>
        </w:rPr>
        <w:t xml:space="preserve"> </w:t>
      </w:r>
      <w:r w:rsidRPr="00FC1C4A">
        <w:rPr>
          <w:lang w:val="en-US"/>
        </w:rPr>
        <w:t>selekcija</w:t>
      </w:r>
      <w:r>
        <w:rPr>
          <w:lang w:val="en-US"/>
        </w:rPr>
        <w:t xml:space="preserve"> </w:t>
      </w:r>
      <w:r w:rsidRPr="00FC1C4A">
        <w:rPr>
          <w:lang w:val="en-US"/>
        </w:rPr>
        <w:t>polevyh</w:t>
      </w:r>
      <w:r>
        <w:rPr>
          <w:lang w:val="en-US"/>
        </w:rPr>
        <w:t xml:space="preserve"> </w:t>
      </w:r>
      <w:r w:rsidRPr="00FC1C4A">
        <w:rPr>
          <w:lang w:val="en-US"/>
        </w:rPr>
        <w:t>kul</w:t>
      </w:r>
      <w:r w:rsidRPr="00D028D6">
        <w:rPr>
          <w:lang w:val="en-US"/>
        </w:rPr>
        <w:t>'</w:t>
      </w:r>
      <w:r w:rsidRPr="00FC1C4A">
        <w:rPr>
          <w:lang w:val="en-US"/>
        </w:rPr>
        <w:t>tur</w:t>
      </w:r>
      <w:r w:rsidRPr="00D028D6">
        <w:rPr>
          <w:lang w:val="en-US"/>
        </w:rPr>
        <w:t xml:space="preserve">. / </w:t>
      </w:r>
      <w:r w:rsidRPr="00FC1C4A">
        <w:rPr>
          <w:lang w:val="en-US"/>
        </w:rPr>
        <w:t>V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V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Pyl</w:t>
      </w:r>
      <w:r w:rsidRPr="00D028D6">
        <w:rPr>
          <w:lang w:val="en-US"/>
        </w:rPr>
        <w:t>'</w:t>
      </w:r>
      <w:r w:rsidRPr="00FC1C4A">
        <w:rPr>
          <w:lang w:val="en-US"/>
        </w:rPr>
        <w:t>nev</w:t>
      </w:r>
      <w:r w:rsidRPr="00D028D6">
        <w:rPr>
          <w:lang w:val="en-US"/>
        </w:rPr>
        <w:t xml:space="preserve">, </w:t>
      </w:r>
      <w:r w:rsidRPr="00FC1C4A">
        <w:rPr>
          <w:lang w:val="en-US"/>
        </w:rPr>
        <w:t>Ju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B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Konovalov</w:t>
      </w:r>
      <w:r w:rsidRPr="00D028D6">
        <w:rPr>
          <w:lang w:val="en-US"/>
        </w:rPr>
        <w:t xml:space="preserve">, </w:t>
      </w:r>
      <w:r w:rsidRPr="00FC1C4A">
        <w:rPr>
          <w:lang w:val="en-US"/>
        </w:rPr>
        <w:t>T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I</w:t>
      </w:r>
      <w:r w:rsidRPr="00D028D6">
        <w:rPr>
          <w:lang w:val="en-US"/>
        </w:rPr>
        <w:t xml:space="preserve">. </w:t>
      </w:r>
      <w:r w:rsidRPr="00FC1C4A">
        <w:rPr>
          <w:lang w:val="en-US"/>
        </w:rPr>
        <w:t>Hupacarijai</w:t>
      </w:r>
      <w:r w:rsidRPr="00D028D6">
        <w:rPr>
          <w:lang w:val="en-US"/>
        </w:rPr>
        <w:t xml:space="preserve"> </w:t>
      </w:r>
      <w:r w:rsidRPr="00FC1C4A">
        <w:rPr>
          <w:lang w:val="en-US"/>
        </w:rPr>
        <w:t>dr</w:t>
      </w:r>
      <w:r w:rsidRPr="00D028D6">
        <w:rPr>
          <w:lang w:val="en-US"/>
        </w:rPr>
        <w:t xml:space="preserve">./ </w:t>
      </w:r>
      <w:r w:rsidRPr="00FC1C4A">
        <w:rPr>
          <w:lang w:val="en-US"/>
        </w:rPr>
        <w:t>Pod red. V. V. Pyl'neva. – M.: KolosS, 2005.</w:t>
      </w:r>
    </w:p>
    <w:sectPr w:rsidR="00A41FC1" w:rsidRPr="00FC1C4A" w:rsidSect="00F875E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FC1" w:rsidRDefault="00A41FC1" w:rsidP="00080E6D">
      <w:r>
        <w:separator/>
      </w:r>
    </w:p>
  </w:endnote>
  <w:endnote w:type="continuationSeparator" w:id="1">
    <w:p w:rsidR="00A41FC1" w:rsidRDefault="00A41FC1" w:rsidP="00080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C1" w:rsidRDefault="00A41FC1">
    <w:pPr>
      <w:pStyle w:val="Footer"/>
    </w:pPr>
    <w:bookmarkStart w:id="1" w:name="OLE_LINK3"/>
    <w:bookmarkStart w:id="2" w:name="OLE_LINK4"/>
    <w:bookmarkStart w:id="3" w:name="OLE_LINK5"/>
    <w:bookmarkStart w:id="4" w:name="OLE_LINK6"/>
    <w:r w:rsidRPr="00111509">
      <w:t>http://ej.kubagro.ru/201</w:t>
    </w:r>
    <w:r w:rsidRPr="00111509">
      <w:rPr>
        <w:lang w:val="en-US"/>
      </w:rPr>
      <w:t>4</w:t>
    </w:r>
    <w:r w:rsidRPr="00111509">
      <w:t>/</w:t>
    </w:r>
    <w:r w:rsidRPr="00111509">
      <w:rPr>
        <w:lang w:val="en-US"/>
      </w:rPr>
      <w:t>0</w:t>
    </w:r>
    <w:r>
      <w:rPr>
        <w:lang w:val="en-US"/>
      </w:rPr>
      <w:t>2</w:t>
    </w:r>
    <w:r w:rsidRPr="00111509">
      <w:t>/pdf/</w:t>
    </w:r>
    <w:r>
      <w:rPr>
        <w:lang w:val="en-US"/>
      </w:rPr>
      <w:t>1</w:t>
    </w:r>
    <w:r>
      <w:t>5</w:t>
    </w:r>
    <w:r w:rsidRPr="00111509">
      <w:t>.pdf</w:t>
    </w:r>
    <w:bookmarkEnd w:id="1"/>
    <w:bookmarkEnd w:id="2"/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FC1" w:rsidRDefault="00A41FC1" w:rsidP="00080E6D">
      <w:r>
        <w:separator/>
      </w:r>
    </w:p>
  </w:footnote>
  <w:footnote w:type="continuationSeparator" w:id="1">
    <w:p w:rsidR="00A41FC1" w:rsidRDefault="00A41FC1" w:rsidP="00080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C1" w:rsidRDefault="00A41FC1" w:rsidP="00113F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1FC1" w:rsidRDefault="00A41FC1" w:rsidP="00F875E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C1" w:rsidRPr="00F875E5" w:rsidRDefault="00A41FC1" w:rsidP="00113FD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F875E5">
      <w:rPr>
        <w:rStyle w:val="PageNumber"/>
        <w:sz w:val="28"/>
        <w:szCs w:val="28"/>
      </w:rPr>
      <w:fldChar w:fldCharType="begin"/>
    </w:r>
    <w:r w:rsidRPr="00F875E5">
      <w:rPr>
        <w:rStyle w:val="PageNumber"/>
        <w:sz w:val="28"/>
        <w:szCs w:val="28"/>
      </w:rPr>
      <w:instrText xml:space="preserve">PAGE  </w:instrText>
    </w:r>
    <w:r w:rsidRPr="00F875E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9</w:t>
    </w:r>
    <w:r w:rsidRPr="00F875E5">
      <w:rPr>
        <w:rStyle w:val="PageNumber"/>
        <w:sz w:val="28"/>
        <w:szCs w:val="28"/>
      </w:rPr>
      <w:fldChar w:fldCharType="end"/>
    </w:r>
  </w:p>
  <w:p w:rsidR="00A41FC1" w:rsidRDefault="00A41FC1" w:rsidP="00F875E5">
    <w:pPr>
      <w:pStyle w:val="Header"/>
      <w:ind w:right="360"/>
    </w:pPr>
    <w:r w:rsidRPr="00292EC9">
      <w:t>Научный журнал КубГАУ, №</w:t>
    </w:r>
    <w:r w:rsidRPr="00292EC9">
      <w:rPr>
        <w:lang w:val="en-US"/>
      </w:rPr>
      <w:t>9</w:t>
    </w:r>
    <w:r w:rsidRPr="00292EC9">
      <w:t>6(</w:t>
    </w:r>
    <w:r w:rsidRPr="00292EC9">
      <w:rPr>
        <w:lang w:val="en-US"/>
      </w:rPr>
      <w:t>02</w:t>
    </w:r>
    <w:r w:rsidRPr="00292EC9">
      <w:t>), 201</w:t>
    </w:r>
    <w:r w:rsidRPr="00292EC9">
      <w:rPr>
        <w:lang w:val="en-US"/>
      </w:rPr>
      <w:t>4</w:t>
    </w:r>
    <w:r w:rsidRPr="00292EC9">
      <w:t xml:space="preserve"> года</w:t>
    </w:r>
  </w:p>
  <w:p w:rsidR="00A41FC1" w:rsidRDefault="00A41FC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C1" w:rsidRDefault="00A41FC1" w:rsidP="00113F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41FC1" w:rsidRDefault="00A41FC1" w:rsidP="00F875E5">
    <w:pPr>
      <w:pStyle w:val="Header"/>
      <w:ind w:right="360"/>
    </w:pPr>
    <w:r w:rsidRPr="00292EC9">
      <w:t>Научный журнал КубГАУ, №</w:t>
    </w:r>
    <w:r w:rsidRPr="00292EC9">
      <w:rPr>
        <w:lang w:val="en-US"/>
      </w:rPr>
      <w:t>9</w:t>
    </w:r>
    <w:r w:rsidRPr="00292EC9">
      <w:t>6(</w:t>
    </w:r>
    <w:r w:rsidRPr="00292EC9">
      <w:rPr>
        <w:lang w:val="en-US"/>
      </w:rPr>
      <w:t>02</w:t>
    </w:r>
    <w:r w:rsidRPr="00292EC9">
      <w:t>), 201</w:t>
    </w:r>
    <w:r w:rsidRPr="00292EC9">
      <w:rPr>
        <w:lang w:val="en-US"/>
      </w:rPr>
      <w:t>4</w:t>
    </w:r>
    <w:r w:rsidRPr="00292EC9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270409"/>
    <w:multiLevelType w:val="hybridMultilevel"/>
    <w:tmpl w:val="9852251C"/>
    <w:lvl w:ilvl="0" w:tplc="209C6DE6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E0071B7"/>
    <w:multiLevelType w:val="hybridMultilevel"/>
    <w:tmpl w:val="AB22ED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763096"/>
    <w:multiLevelType w:val="hybridMultilevel"/>
    <w:tmpl w:val="734A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8507B4"/>
    <w:multiLevelType w:val="hybridMultilevel"/>
    <w:tmpl w:val="6308C4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3B36BC"/>
    <w:multiLevelType w:val="hybridMultilevel"/>
    <w:tmpl w:val="106C853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EBA"/>
    <w:rsid w:val="0000510A"/>
    <w:rsid w:val="00015242"/>
    <w:rsid w:val="000209A1"/>
    <w:rsid w:val="0002570E"/>
    <w:rsid w:val="00033623"/>
    <w:rsid w:val="00033ACC"/>
    <w:rsid w:val="00035EF0"/>
    <w:rsid w:val="00040834"/>
    <w:rsid w:val="00047628"/>
    <w:rsid w:val="0005545C"/>
    <w:rsid w:val="0006509E"/>
    <w:rsid w:val="000808EC"/>
    <w:rsid w:val="00080E6D"/>
    <w:rsid w:val="000934CB"/>
    <w:rsid w:val="000D1A0F"/>
    <w:rsid w:val="000D3703"/>
    <w:rsid w:val="000D7671"/>
    <w:rsid w:val="000E1CD0"/>
    <w:rsid w:val="000E63B8"/>
    <w:rsid w:val="00105F65"/>
    <w:rsid w:val="00111509"/>
    <w:rsid w:val="00113FDC"/>
    <w:rsid w:val="00141772"/>
    <w:rsid w:val="00144907"/>
    <w:rsid w:val="001645D3"/>
    <w:rsid w:val="00174AC7"/>
    <w:rsid w:val="00175FB8"/>
    <w:rsid w:val="00180805"/>
    <w:rsid w:val="00193B9F"/>
    <w:rsid w:val="001A5DA3"/>
    <w:rsid w:val="001C0C61"/>
    <w:rsid w:val="001D1A11"/>
    <w:rsid w:val="001D43D4"/>
    <w:rsid w:val="001D59D5"/>
    <w:rsid w:val="001E13D3"/>
    <w:rsid w:val="001F6614"/>
    <w:rsid w:val="00215629"/>
    <w:rsid w:val="00221A8C"/>
    <w:rsid w:val="00227A1D"/>
    <w:rsid w:val="0023040B"/>
    <w:rsid w:val="00232623"/>
    <w:rsid w:val="00232C39"/>
    <w:rsid w:val="002368B2"/>
    <w:rsid w:val="00241FF9"/>
    <w:rsid w:val="0024527B"/>
    <w:rsid w:val="00250319"/>
    <w:rsid w:val="002541B2"/>
    <w:rsid w:val="0025440A"/>
    <w:rsid w:val="0028708E"/>
    <w:rsid w:val="00291313"/>
    <w:rsid w:val="00292EC9"/>
    <w:rsid w:val="002959C9"/>
    <w:rsid w:val="002A5B04"/>
    <w:rsid w:val="002D4463"/>
    <w:rsid w:val="002E4C40"/>
    <w:rsid w:val="00317653"/>
    <w:rsid w:val="00342C99"/>
    <w:rsid w:val="00350F23"/>
    <w:rsid w:val="00352F06"/>
    <w:rsid w:val="003625D6"/>
    <w:rsid w:val="0036723B"/>
    <w:rsid w:val="003706AE"/>
    <w:rsid w:val="00376909"/>
    <w:rsid w:val="00383176"/>
    <w:rsid w:val="003B31D5"/>
    <w:rsid w:val="003B686E"/>
    <w:rsid w:val="003B7ACA"/>
    <w:rsid w:val="003C2609"/>
    <w:rsid w:val="003C5E39"/>
    <w:rsid w:val="003E485B"/>
    <w:rsid w:val="003F2828"/>
    <w:rsid w:val="004052ED"/>
    <w:rsid w:val="00424AA2"/>
    <w:rsid w:val="004271B8"/>
    <w:rsid w:val="00432CB0"/>
    <w:rsid w:val="004500CB"/>
    <w:rsid w:val="00456D82"/>
    <w:rsid w:val="00466FDE"/>
    <w:rsid w:val="00484E2D"/>
    <w:rsid w:val="00487897"/>
    <w:rsid w:val="00492E0D"/>
    <w:rsid w:val="00493FE6"/>
    <w:rsid w:val="004A7B52"/>
    <w:rsid w:val="004B2A2A"/>
    <w:rsid w:val="004C7948"/>
    <w:rsid w:val="004D78CD"/>
    <w:rsid w:val="004E13B8"/>
    <w:rsid w:val="004E2694"/>
    <w:rsid w:val="004E3A3C"/>
    <w:rsid w:val="004F4CDC"/>
    <w:rsid w:val="00501008"/>
    <w:rsid w:val="00513303"/>
    <w:rsid w:val="005177AF"/>
    <w:rsid w:val="005236C1"/>
    <w:rsid w:val="00531266"/>
    <w:rsid w:val="00537167"/>
    <w:rsid w:val="00541A04"/>
    <w:rsid w:val="00546091"/>
    <w:rsid w:val="005562DF"/>
    <w:rsid w:val="00565196"/>
    <w:rsid w:val="00575F3E"/>
    <w:rsid w:val="00577A45"/>
    <w:rsid w:val="005829D3"/>
    <w:rsid w:val="00590DED"/>
    <w:rsid w:val="005A1939"/>
    <w:rsid w:val="005A44A7"/>
    <w:rsid w:val="005C632F"/>
    <w:rsid w:val="005C7271"/>
    <w:rsid w:val="005D1043"/>
    <w:rsid w:val="005E59A3"/>
    <w:rsid w:val="005F4747"/>
    <w:rsid w:val="005F4CF7"/>
    <w:rsid w:val="00611833"/>
    <w:rsid w:val="00611FF1"/>
    <w:rsid w:val="006166D8"/>
    <w:rsid w:val="0061766A"/>
    <w:rsid w:val="006458DC"/>
    <w:rsid w:val="00653453"/>
    <w:rsid w:val="00673961"/>
    <w:rsid w:val="0069344F"/>
    <w:rsid w:val="0069771B"/>
    <w:rsid w:val="006B13D5"/>
    <w:rsid w:val="006B3ED4"/>
    <w:rsid w:val="006B416F"/>
    <w:rsid w:val="006B55A6"/>
    <w:rsid w:val="006C6906"/>
    <w:rsid w:val="006D2271"/>
    <w:rsid w:val="006F1324"/>
    <w:rsid w:val="006F2166"/>
    <w:rsid w:val="006F7A9E"/>
    <w:rsid w:val="0073755B"/>
    <w:rsid w:val="0074143B"/>
    <w:rsid w:val="00754730"/>
    <w:rsid w:val="007577DA"/>
    <w:rsid w:val="007611A9"/>
    <w:rsid w:val="007701AC"/>
    <w:rsid w:val="00775A73"/>
    <w:rsid w:val="007810A8"/>
    <w:rsid w:val="00786682"/>
    <w:rsid w:val="00786790"/>
    <w:rsid w:val="00790A31"/>
    <w:rsid w:val="00790F94"/>
    <w:rsid w:val="007A051A"/>
    <w:rsid w:val="007A7C04"/>
    <w:rsid w:val="007B0566"/>
    <w:rsid w:val="007B5165"/>
    <w:rsid w:val="007B6727"/>
    <w:rsid w:val="007C4605"/>
    <w:rsid w:val="007E6EBA"/>
    <w:rsid w:val="007F0239"/>
    <w:rsid w:val="00801CD9"/>
    <w:rsid w:val="008115C6"/>
    <w:rsid w:val="00827189"/>
    <w:rsid w:val="0086015E"/>
    <w:rsid w:val="00863D18"/>
    <w:rsid w:val="008731FB"/>
    <w:rsid w:val="008753AE"/>
    <w:rsid w:val="0088028B"/>
    <w:rsid w:val="00895D77"/>
    <w:rsid w:val="008B289B"/>
    <w:rsid w:val="008B3A5B"/>
    <w:rsid w:val="008B758A"/>
    <w:rsid w:val="008C03BA"/>
    <w:rsid w:val="008C1F8F"/>
    <w:rsid w:val="008C2E8C"/>
    <w:rsid w:val="008C3F6B"/>
    <w:rsid w:val="008E5583"/>
    <w:rsid w:val="008F0352"/>
    <w:rsid w:val="008F331C"/>
    <w:rsid w:val="008F507B"/>
    <w:rsid w:val="00900368"/>
    <w:rsid w:val="009006AB"/>
    <w:rsid w:val="00922AAF"/>
    <w:rsid w:val="00933AD0"/>
    <w:rsid w:val="00934959"/>
    <w:rsid w:val="009510ED"/>
    <w:rsid w:val="00963AFE"/>
    <w:rsid w:val="009C0DA7"/>
    <w:rsid w:val="009C55A7"/>
    <w:rsid w:val="009F46EB"/>
    <w:rsid w:val="009F5C92"/>
    <w:rsid w:val="00A06C20"/>
    <w:rsid w:val="00A075ED"/>
    <w:rsid w:val="00A11E69"/>
    <w:rsid w:val="00A15EBA"/>
    <w:rsid w:val="00A266D1"/>
    <w:rsid w:val="00A32CA5"/>
    <w:rsid w:val="00A41FC1"/>
    <w:rsid w:val="00A46278"/>
    <w:rsid w:val="00A61CE6"/>
    <w:rsid w:val="00A72C73"/>
    <w:rsid w:val="00A81329"/>
    <w:rsid w:val="00A8517D"/>
    <w:rsid w:val="00A93DE9"/>
    <w:rsid w:val="00A972F4"/>
    <w:rsid w:val="00AA4BA4"/>
    <w:rsid w:val="00AC24CE"/>
    <w:rsid w:val="00AC7683"/>
    <w:rsid w:val="00AD0549"/>
    <w:rsid w:val="00AD13E7"/>
    <w:rsid w:val="00AD7ECD"/>
    <w:rsid w:val="00AF5BA7"/>
    <w:rsid w:val="00AF6DAC"/>
    <w:rsid w:val="00B0035D"/>
    <w:rsid w:val="00B11160"/>
    <w:rsid w:val="00B1213C"/>
    <w:rsid w:val="00B176FB"/>
    <w:rsid w:val="00B2588D"/>
    <w:rsid w:val="00B469C6"/>
    <w:rsid w:val="00B55DE6"/>
    <w:rsid w:val="00B71B2D"/>
    <w:rsid w:val="00B74B40"/>
    <w:rsid w:val="00B75BE0"/>
    <w:rsid w:val="00B76823"/>
    <w:rsid w:val="00B76E8C"/>
    <w:rsid w:val="00B820FA"/>
    <w:rsid w:val="00BA641A"/>
    <w:rsid w:val="00BB7BE5"/>
    <w:rsid w:val="00BC5117"/>
    <w:rsid w:val="00BC75A7"/>
    <w:rsid w:val="00BE2617"/>
    <w:rsid w:val="00BF4F49"/>
    <w:rsid w:val="00C053D5"/>
    <w:rsid w:val="00C447A4"/>
    <w:rsid w:val="00C47892"/>
    <w:rsid w:val="00C5320C"/>
    <w:rsid w:val="00C57F0D"/>
    <w:rsid w:val="00C63758"/>
    <w:rsid w:val="00C64D81"/>
    <w:rsid w:val="00C73837"/>
    <w:rsid w:val="00C91330"/>
    <w:rsid w:val="00CC160B"/>
    <w:rsid w:val="00CD1295"/>
    <w:rsid w:val="00CD2C55"/>
    <w:rsid w:val="00CD79B5"/>
    <w:rsid w:val="00CF5A63"/>
    <w:rsid w:val="00D028D6"/>
    <w:rsid w:val="00D20BF5"/>
    <w:rsid w:val="00D52D6C"/>
    <w:rsid w:val="00D54973"/>
    <w:rsid w:val="00D566E8"/>
    <w:rsid w:val="00D56FD8"/>
    <w:rsid w:val="00DB0850"/>
    <w:rsid w:val="00DD3821"/>
    <w:rsid w:val="00DF35EC"/>
    <w:rsid w:val="00E00769"/>
    <w:rsid w:val="00E1326F"/>
    <w:rsid w:val="00E13EB5"/>
    <w:rsid w:val="00E14241"/>
    <w:rsid w:val="00E321B6"/>
    <w:rsid w:val="00E345EC"/>
    <w:rsid w:val="00E85CEB"/>
    <w:rsid w:val="00E87802"/>
    <w:rsid w:val="00E92969"/>
    <w:rsid w:val="00E955F3"/>
    <w:rsid w:val="00EA2809"/>
    <w:rsid w:val="00EA7481"/>
    <w:rsid w:val="00ED39EF"/>
    <w:rsid w:val="00EE675E"/>
    <w:rsid w:val="00F1398C"/>
    <w:rsid w:val="00F1624C"/>
    <w:rsid w:val="00F169B6"/>
    <w:rsid w:val="00F23C92"/>
    <w:rsid w:val="00F27C95"/>
    <w:rsid w:val="00F443A6"/>
    <w:rsid w:val="00F524DE"/>
    <w:rsid w:val="00F54D05"/>
    <w:rsid w:val="00F562AA"/>
    <w:rsid w:val="00F67185"/>
    <w:rsid w:val="00F840FF"/>
    <w:rsid w:val="00F875E5"/>
    <w:rsid w:val="00F93D73"/>
    <w:rsid w:val="00F978F9"/>
    <w:rsid w:val="00FA3EBD"/>
    <w:rsid w:val="00FB5082"/>
    <w:rsid w:val="00FC1C4A"/>
    <w:rsid w:val="00FD00B7"/>
    <w:rsid w:val="00FD036B"/>
    <w:rsid w:val="00FD4D83"/>
    <w:rsid w:val="00FD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B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5EBA"/>
    <w:pPr>
      <w:keepNext/>
      <w:tabs>
        <w:tab w:val="left" w:pos="324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5EB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D00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00B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105F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80E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80E6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80E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0E6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820FA"/>
    <w:rPr>
      <w:rFonts w:ascii="Tahoma" w:hAnsi="Tahoma" w:cs="Tahoma"/>
      <w:color w:val="2DB0C5"/>
      <w:u w:val="none"/>
      <w:effect w:val="none"/>
    </w:rPr>
  </w:style>
  <w:style w:type="paragraph" w:styleId="NormalWeb">
    <w:name w:val="Normal (Web)"/>
    <w:basedOn w:val="Normal"/>
    <w:uiPriority w:val="99"/>
    <w:rsid w:val="00B820FA"/>
    <w:pPr>
      <w:spacing w:after="375"/>
      <w:ind w:left="150" w:right="150"/>
      <w:jc w:val="both"/>
    </w:pPr>
  </w:style>
  <w:style w:type="character" w:styleId="FollowedHyperlink">
    <w:name w:val="FollowedHyperlink"/>
    <w:basedOn w:val="DefaultParagraphFont"/>
    <w:uiPriority w:val="99"/>
    <w:semiHidden/>
    <w:rsid w:val="00F169B6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FD5E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875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16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1879</TotalTime>
  <Pages>10</Pages>
  <Words>1876</Words>
  <Characters>10696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2012-07-24T04:46:00Z</cp:lastPrinted>
  <dcterms:created xsi:type="dcterms:W3CDTF">2012-07-09T04:04:00Z</dcterms:created>
  <dcterms:modified xsi:type="dcterms:W3CDTF">2014-02-16T20:57:00Z</dcterms:modified>
</cp:coreProperties>
</file>