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A0"/>
      </w:tblPr>
      <w:tblGrid>
        <w:gridCol w:w="4644"/>
        <w:gridCol w:w="4642"/>
      </w:tblGrid>
      <w:tr w:rsidR="00771C87" w:rsidRPr="00874EB9" w:rsidTr="009C7685">
        <w:tc>
          <w:tcPr>
            <w:tcW w:w="4644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</w:rPr>
            </w:pPr>
            <w:r w:rsidRPr="00874EB9">
              <w:rPr>
                <w:sz w:val="20"/>
                <w:szCs w:val="20"/>
              </w:rPr>
              <w:t>УДК 339.543.6:338.27</w:t>
            </w:r>
          </w:p>
        </w:tc>
        <w:tc>
          <w:tcPr>
            <w:tcW w:w="4642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</w:rPr>
            </w:pPr>
            <w:r w:rsidRPr="00874EB9">
              <w:rPr>
                <w:sz w:val="20"/>
                <w:szCs w:val="20"/>
                <w:lang w:val="en-US"/>
              </w:rPr>
              <w:t>UDC</w:t>
            </w:r>
            <w:r w:rsidRPr="00874EB9">
              <w:rPr>
                <w:sz w:val="20"/>
                <w:szCs w:val="20"/>
              </w:rPr>
              <w:t xml:space="preserve"> 339.543.6:338.27</w:t>
            </w:r>
          </w:p>
        </w:tc>
      </w:tr>
      <w:tr w:rsidR="00771C87" w:rsidRPr="00874EB9" w:rsidTr="009C7685">
        <w:tc>
          <w:tcPr>
            <w:tcW w:w="4644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42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71C87" w:rsidRPr="000F30DC" w:rsidTr="009C7685">
        <w:tc>
          <w:tcPr>
            <w:tcW w:w="4644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</w:rPr>
            </w:pPr>
            <w:r w:rsidRPr="00874EB9">
              <w:rPr>
                <w:b/>
                <w:sz w:val="20"/>
                <w:szCs w:val="20"/>
              </w:rPr>
              <w:t>ДИНАМИКА СРЕДНЕВЗВЕШЕННОГО ТАМОЖЕННОГО ТАРИФА И ЕГО ВЛИЯНИЕ НА КОНКУРЕНТОСПОСОБНОСТЬ РОССИЙСКИХ ТОВАРОПРОИЗВОДИТЕЛЕЙ</w:t>
            </w:r>
          </w:p>
        </w:tc>
        <w:tc>
          <w:tcPr>
            <w:tcW w:w="4642" w:type="dxa"/>
          </w:tcPr>
          <w:p w:rsidR="00771C87" w:rsidRPr="00874EB9" w:rsidRDefault="00771C87" w:rsidP="00997C32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874EB9">
              <w:rPr>
                <w:b/>
                <w:sz w:val="20"/>
                <w:szCs w:val="20"/>
                <w:lang w:val="en-US"/>
              </w:rPr>
              <w:t xml:space="preserve">DYNAMICS OF THE WEIGHTED AVERAGE CUSTOMS </w:t>
            </w:r>
            <w:r>
              <w:rPr>
                <w:b/>
                <w:sz w:val="20"/>
                <w:szCs w:val="20"/>
                <w:lang w:val="en-US"/>
              </w:rPr>
              <w:t>FARE</w:t>
            </w:r>
            <w:r w:rsidRPr="00874EB9">
              <w:rPr>
                <w:b/>
                <w:sz w:val="20"/>
                <w:szCs w:val="20"/>
                <w:lang w:val="en-US"/>
              </w:rPr>
              <w:t xml:space="preserve"> AND ITS INFLUENCE ON COMPETITIVENESS OF RUSSIAN MANUFACTURERS</w:t>
            </w:r>
          </w:p>
        </w:tc>
      </w:tr>
      <w:tr w:rsidR="00771C87" w:rsidRPr="000F30DC" w:rsidTr="009C7685">
        <w:tc>
          <w:tcPr>
            <w:tcW w:w="4644" w:type="dxa"/>
          </w:tcPr>
          <w:p w:rsidR="00771C87" w:rsidRPr="00874EB9" w:rsidRDefault="00771C87" w:rsidP="00997C32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642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771C87" w:rsidRPr="00874EB9" w:rsidTr="009C7685">
        <w:trPr>
          <w:trHeight w:val="288"/>
        </w:trPr>
        <w:tc>
          <w:tcPr>
            <w:tcW w:w="4644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</w:rPr>
            </w:pPr>
            <w:r w:rsidRPr="00874EB9">
              <w:rPr>
                <w:sz w:val="20"/>
                <w:szCs w:val="20"/>
              </w:rPr>
              <w:t>Сыромятников Денис Александрович</w:t>
            </w:r>
          </w:p>
        </w:tc>
        <w:tc>
          <w:tcPr>
            <w:tcW w:w="4642" w:type="dxa"/>
          </w:tcPr>
          <w:p w:rsidR="00771C87" w:rsidRPr="00874EB9" w:rsidRDefault="00771C87" w:rsidP="00997C32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874EB9">
              <w:rPr>
                <w:sz w:val="20"/>
                <w:szCs w:val="20"/>
                <w:shd w:val="clear" w:color="auto" w:fill="FFFFFF"/>
                <w:lang w:val="en-US"/>
              </w:rPr>
              <w:t>Syromyatnikov Denis Aleksandro</w:t>
            </w:r>
            <w:r w:rsidRPr="00E412EA">
              <w:rPr>
                <w:sz w:val="20"/>
                <w:szCs w:val="20"/>
                <w:lang w:val="en-US"/>
              </w:rPr>
              <w:t>vich</w:t>
            </w:r>
          </w:p>
        </w:tc>
      </w:tr>
      <w:tr w:rsidR="00771C87" w:rsidRPr="000F30DC" w:rsidTr="009C7685">
        <w:tc>
          <w:tcPr>
            <w:tcW w:w="4644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</w:rPr>
            </w:pPr>
            <w:r w:rsidRPr="00874EB9">
              <w:rPr>
                <w:sz w:val="20"/>
                <w:szCs w:val="20"/>
              </w:rPr>
              <w:t>к. э. н., доцент</w:t>
            </w:r>
          </w:p>
        </w:tc>
        <w:tc>
          <w:tcPr>
            <w:tcW w:w="4642" w:type="dxa"/>
          </w:tcPr>
          <w:p w:rsidR="00771C87" w:rsidRPr="00874EB9" w:rsidRDefault="00771C87" w:rsidP="00997C32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74EB9">
              <w:rPr>
                <w:sz w:val="20"/>
                <w:szCs w:val="20"/>
                <w:lang w:val="en-US"/>
              </w:rPr>
              <w:t xml:space="preserve">Cand.Econ.Sci, </w:t>
            </w:r>
            <w:r w:rsidRPr="00874EB9">
              <w:rPr>
                <w:sz w:val="20"/>
                <w:szCs w:val="20"/>
                <w:shd w:val="clear" w:color="auto" w:fill="FFFFFF"/>
                <w:lang w:val="en-US"/>
              </w:rPr>
              <w:t>associate professor</w:t>
            </w:r>
          </w:p>
        </w:tc>
      </w:tr>
      <w:tr w:rsidR="00771C87" w:rsidRPr="000F30DC" w:rsidTr="009C7685">
        <w:tc>
          <w:tcPr>
            <w:tcW w:w="4644" w:type="dxa"/>
          </w:tcPr>
          <w:p w:rsidR="00771C87" w:rsidRPr="00874EB9" w:rsidRDefault="00771C87" w:rsidP="00997C32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874EB9">
              <w:rPr>
                <w:i/>
                <w:sz w:val="20"/>
                <w:szCs w:val="20"/>
              </w:rPr>
              <w:t>Северо-Кавказский федеральный университет, Ставрополь, Россия</w:t>
            </w:r>
          </w:p>
        </w:tc>
        <w:tc>
          <w:tcPr>
            <w:tcW w:w="4642" w:type="dxa"/>
          </w:tcPr>
          <w:p w:rsidR="00771C87" w:rsidRPr="00874EB9" w:rsidRDefault="00771C87" w:rsidP="00997C32">
            <w:pPr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  <w:r w:rsidRPr="00874EB9">
              <w:rPr>
                <w:bCs/>
                <w:i/>
                <w:sz w:val="20"/>
                <w:szCs w:val="20"/>
                <w:lang w:val="en-US"/>
              </w:rPr>
              <w:t>North-Caucasus Federal University, Stavropol, Russia</w:t>
            </w:r>
          </w:p>
        </w:tc>
      </w:tr>
      <w:tr w:rsidR="00771C87" w:rsidRPr="000F30DC" w:rsidTr="009C7685">
        <w:tc>
          <w:tcPr>
            <w:tcW w:w="4644" w:type="dxa"/>
          </w:tcPr>
          <w:p w:rsidR="00771C87" w:rsidRPr="00D8218A" w:rsidRDefault="00771C87" w:rsidP="00997C3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2" w:type="dxa"/>
          </w:tcPr>
          <w:p w:rsidR="00771C87" w:rsidRPr="00874EB9" w:rsidRDefault="00771C87" w:rsidP="00997C32">
            <w:pPr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</w:p>
        </w:tc>
      </w:tr>
      <w:tr w:rsidR="00771C87" w:rsidRPr="000F30DC" w:rsidTr="009C7685">
        <w:tc>
          <w:tcPr>
            <w:tcW w:w="4644" w:type="dxa"/>
          </w:tcPr>
          <w:p w:rsidR="00771C87" w:rsidRPr="000F30DC" w:rsidRDefault="00771C87" w:rsidP="007A7220">
            <w:pPr>
              <w:spacing w:after="0" w:line="240" w:lineRule="auto"/>
              <w:rPr>
                <w:sz w:val="20"/>
                <w:szCs w:val="20"/>
              </w:rPr>
            </w:pPr>
            <w:r w:rsidRPr="00874EB9">
              <w:rPr>
                <w:sz w:val="20"/>
                <w:szCs w:val="20"/>
              </w:rPr>
              <w:t>В статье представлен анализ динамики средневзвешенного таможенного тарифа на конкурентоспособность экономических субъектов. Дана характеристика современного состояния конкурентоспособности российских фирм после вступления во Всемирную торговую организацию</w:t>
            </w:r>
          </w:p>
        </w:tc>
        <w:tc>
          <w:tcPr>
            <w:tcW w:w="4642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74EB9">
              <w:rPr>
                <w:sz w:val="20"/>
                <w:szCs w:val="20"/>
                <w:lang w:val="en-US"/>
              </w:rPr>
              <w:t xml:space="preserve">The article presents an analysis of the dynamics of the weighted average customs </w:t>
            </w:r>
            <w:r>
              <w:rPr>
                <w:sz w:val="20"/>
                <w:szCs w:val="20"/>
                <w:lang w:val="en-US"/>
              </w:rPr>
              <w:t xml:space="preserve">fare </w:t>
            </w:r>
            <w:r w:rsidRPr="00874EB9">
              <w:rPr>
                <w:sz w:val="20"/>
                <w:szCs w:val="20"/>
                <w:lang w:val="en-US"/>
              </w:rPr>
              <w:t>on the competitiveness of economic subjects. The characteristic of the current state of competitiveness of Russian companies after joining the World Trade Organization</w:t>
            </w:r>
            <w:r>
              <w:rPr>
                <w:sz w:val="20"/>
                <w:szCs w:val="20"/>
                <w:lang w:val="en-US"/>
              </w:rPr>
              <w:t xml:space="preserve"> is given</w:t>
            </w:r>
          </w:p>
        </w:tc>
      </w:tr>
      <w:tr w:rsidR="00771C87" w:rsidRPr="000F30DC" w:rsidTr="009C7685">
        <w:tc>
          <w:tcPr>
            <w:tcW w:w="4644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2" w:type="dxa"/>
          </w:tcPr>
          <w:p w:rsidR="00771C87" w:rsidRPr="00874EB9" w:rsidRDefault="00771C87" w:rsidP="00997C32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771C87" w:rsidRPr="000F30DC" w:rsidTr="009C7685">
        <w:trPr>
          <w:trHeight w:val="714"/>
        </w:trPr>
        <w:tc>
          <w:tcPr>
            <w:tcW w:w="4644" w:type="dxa"/>
          </w:tcPr>
          <w:p w:rsidR="00771C87" w:rsidRPr="00874EB9" w:rsidRDefault="00771C87" w:rsidP="00997C32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874EB9">
              <w:rPr>
                <w:sz w:val="20"/>
                <w:szCs w:val="20"/>
              </w:rPr>
              <w:t xml:space="preserve">Ключевые слова: </w:t>
            </w:r>
            <w:r w:rsidRPr="00874EB9">
              <w:rPr>
                <w:color w:val="000000"/>
                <w:sz w:val="20"/>
                <w:szCs w:val="20"/>
                <w:bdr w:val="none" w:sz="0" w:space="0" w:color="auto" w:frame="1"/>
              </w:rPr>
              <w:t>КОНКУРЕНТОСПОСОБНОСТЬ ПРОМЫШЛЕННОСТИ, ВНЕШНЕТОРГОВАЯ ПОЛИТИКА, ТАМОЖЕННЫЙ ТАРИФ</w:t>
            </w:r>
          </w:p>
        </w:tc>
        <w:tc>
          <w:tcPr>
            <w:tcW w:w="4642" w:type="dxa"/>
          </w:tcPr>
          <w:p w:rsidR="00771C87" w:rsidRPr="00270C6C" w:rsidRDefault="00771C87" w:rsidP="00997C32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74EB9">
              <w:rPr>
                <w:sz w:val="20"/>
                <w:szCs w:val="20"/>
                <w:lang w:val="en-US"/>
              </w:rPr>
              <w:t xml:space="preserve">Keywords: </w:t>
            </w:r>
            <w:r w:rsidRPr="00874EB9">
              <w:rPr>
                <w:sz w:val="20"/>
                <w:szCs w:val="20"/>
                <w:shd w:val="clear" w:color="auto" w:fill="FFFFFF"/>
                <w:lang w:val="en-US"/>
              </w:rPr>
              <w:t xml:space="preserve">COMPETITIVENESS OF INDUSTRY, FOREIGN TRADE POLICY, CUSTOMS 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>FARE</w:t>
            </w:r>
          </w:p>
        </w:tc>
      </w:tr>
    </w:tbl>
    <w:p w:rsidR="00771C87" w:rsidRPr="00761230" w:rsidRDefault="00771C87" w:rsidP="00C40423">
      <w:pPr>
        <w:spacing w:after="0" w:line="360" w:lineRule="auto"/>
        <w:rPr>
          <w:lang w:val="en-US"/>
        </w:rPr>
      </w:pPr>
    </w:p>
    <w:p w:rsidR="00771C87" w:rsidRPr="00200540" w:rsidRDefault="00771C87" w:rsidP="00C40423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 xml:space="preserve">Актуальная экономическая ситуация в России характеризуется наличием значительного количества застарелых проблем весьма красноречиво описываемых представительным набором качественных и количественных показателей, многие из которых позволяют констатировать неудовлетворительные результаты развития российской экономики, а также охарактеризовать финансово-экономическую политику Правительства РФ и Центрального банка как неэффективную [1]. Анализ всего периода с момента начала рыночных реформ в России в контексте темы статьи вызывает высокую озабоченность в экономического научного сообщества сохраняющимися структурными проблемами российской экономики, превалирующими в доходной части бюджета поступлениями от таможенных платежей, налогов и сборов над иными источниками его доходной части, которые угнетают конкурентоспособность российских фирм на внутреннем и внешнем рынках. </w:t>
      </w:r>
    </w:p>
    <w:p w:rsidR="00771C87" w:rsidRPr="00200540" w:rsidRDefault="00771C87" w:rsidP="002B24B1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Прежде всего, следует охарактеризовать текущую конъюнктуру в области внешнеэкономической деятельности России. </w:t>
      </w:r>
      <w:r w:rsidRPr="00200540">
        <w:rPr>
          <w:bCs/>
          <w:szCs w:val="28"/>
        </w:rPr>
        <w:t>Основными торговыми партнерами России в 2012 году были</w:t>
      </w:r>
      <w:r>
        <w:rPr>
          <w:bCs/>
          <w:szCs w:val="28"/>
        </w:rPr>
        <w:t xml:space="preserve"> такие промышленно-развитые или крупные страны как</w:t>
      </w:r>
      <w:r w:rsidRPr="00200540">
        <w:rPr>
          <w:bCs/>
          <w:szCs w:val="28"/>
        </w:rPr>
        <w:t xml:space="preserve"> Китай</w:t>
      </w:r>
      <w:r>
        <w:rPr>
          <w:bCs/>
          <w:szCs w:val="28"/>
        </w:rPr>
        <w:t>,</w:t>
      </w:r>
      <w:r w:rsidRPr="00200540">
        <w:rPr>
          <w:bCs/>
          <w:szCs w:val="28"/>
        </w:rPr>
        <w:t xml:space="preserve"> </w:t>
      </w:r>
      <w:r>
        <w:rPr>
          <w:bCs/>
          <w:szCs w:val="28"/>
        </w:rPr>
        <w:t xml:space="preserve">занимающий </w:t>
      </w:r>
      <w:r w:rsidRPr="00200540">
        <w:rPr>
          <w:bCs/>
          <w:szCs w:val="28"/>
        </w:rPr>
        <w:t>10,5% товарооборота</w:t>
      </w:r>
      <w:r w:rsidRPr="00200540">
        <w:rPr>
          <w:szCs w:val="28"/>
        </w:rPr>
        <w:t xml:space="preserve"> Российской Федерации (в 2011 году – 10,1%), Нидерланды – 9,9% (8,3%), Германия – 8,8% (8,7%), Италия – 5,5% (5,6%), Украина – 5,4% (6,2%), Беларусь – 4,3% (4,8%), Турция – 4,1% (3,9%), Япония – 3,7% (3,6%), США – 3,4% (3,8%), Польша – 3,3% (3,4%)</w:t>
      </w:r>
      <w:r>
        <w:rPr>
          <w:szCs w:val="28"/>
        </w:rPr>
        <w:t xml:space="preserve"> (рисунок 1)</w:t>
      </w:r>
      <w:r w:rsidRPr="00200540">
        <w:rPr>
          <w:szCs w:val="28"/>
        </w:rPr>
        <w:t>.</w:t>
      </w:r>
    </w:p>
    <w:p w:rsidR="00771C87" w:rsidRPr="00200540" w:rsidRDefault="00771C87" w:rsidP="002B24B1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>Среди стран СНГ выделяются Украина, Казахстан и Беларусь</w:t>
      </w:r>
      <w:r>
        <w:rPr>
          <w:szCs w:val="28"/>
        </w:rPr>
        <w:t>, как наиболее экономически развитые и имеющие в достаточной степени развитую промышленную базу</w:t>
      </w:r>
      <w:r w:rsidRPr="00200540">
        <w:rPr>
          <w:szCs w:val="28"/>
        </w:rPr>
        <w:t>.</w:t>
      </w:r>
    </w:p>
    <w:p w:rsidR="00771C87" w:rsidRDefault="00771C87" w:rsidP="002B24B1">
      <w:pPr>
        <w:spacing w:after="0" w:line="360" w:lineRule="auto"/>
        <w:jc w:val="center"/>
        <w:rPr>
          <w:szCs w:val="28"/>
        </w:rPr>
      </w:pPr>
      <w:r w:rsidRPr="007A5317">
        <w:rPr>
          <w:noProof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Безымянный1" style="width:450.6pt;height:265.2pt;visibility:visible">
            <v:imagedata r:id="rId7" o:title=""/>
          </v:shape>
        </w:pict>
      </w:r>
      <w:r>
        <w:rPr>
          <w:szCs w:val="28"/>
        </w:rPr>
        <w:t>Рисунок 1 – Объем экспортно-импортных операций с основными торговыми партнерами России в 2012 году</w:t>
      </w:r>
    </w:p>
    <w:p w:rsidR="00771C87" w:rsidRDefault="00771C87" w:rsidP="002B24B1">
      <w:pPr>
        <w:spacing w:after="0" w:line="360" w:lineRule="auto"/>
        <w:ind w:firstLine="709"/>
        <w:jc w:val="both"/>
        <w:rPr>
          <w:szCs w:val="28"/>
        </w:rPr>
      </w:pPr>
    </w:p>
    <w:p w:rsidR="00771C87" w:rsidRPr="00200540" w:rsidRDefault="00771C87" w:rsidP="002B24B1">
      <w:pPr>
        <w:spacing w:after="0" w:line="360" w:lineRule="auto"/>
        <w:ind w:firstLine="720"/>
        <w:jc w:val="both"/>
        <w:rPr>
          <w:szCs w:val="28"/>
        </w:rPr>
      </w:pPr>
      <w:r w:rsidRPr="00200540">
        <w:rPr>
          <w:szCs w:val="28"/>
        </w:rPr>
        <w:t>Товарооборот России со странами дальнего зарубежья в 2012 году составил 719,5 млрд. долларов США и по сравнению с 2011 годом увеличился на 3,1%, в том числе экспорт – 447,3 млрд. долларов США (рост на 2,3%), импорт – 272,2 млрд. долларов США (рост на 4,3%). В общем объеме внешнеторгового оборота Российской Федерации на долю стран дальнего зарубежья в 2012 году приходилось 85,9% (в 2011 году – 84,9%).</w:t>
      </w:r>
    </w:p>
    <w:p w:rsidR="00771C87" w:rsidRDefault="00771C87" w:rsidP="007A7220">
      <w:pPr>
        <w:spacing w:after="0"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Со </w:t>
      </w:r>
      <w:r w:rsidRPr="00200540">
        <w:rPr>
          <w:szCs w:val="28"/>
        </w:rPr>
        <w:t xml:space="preserve">странами </w:t>
      </w:r>
      <w:r>
        <w:rPr>
          <w:szCs w:val="28"/>
        </w:rPr>
        <w:t xml:space="preserve">дальнего зарубежья </w:t>
      </w:r>
      <w:r w:rsidRPr="00200540">
        <w:rPr>
          <w:szCs w:val="28"/>
        </w:rPr>
        <w:t xml:space="preserve">сложилось положительное </w:t>
      </w:r>
      <w:r>
        <w:rPr>
          <w:szCs w:val="28"/>
        </w:rPr>
        <w:t xml:space="preserve">сальдо торгового баланса </w:t>
      </w:r>
      <w:r w:rsidRPr="00200540">
        <w:rPr>
          <w:szCs w:val="28"/>
        </w:rPr>
        <w:t>в размере 175,1 млрд. долларов США (в 2011 году – 176,4 млрд. долларов США).</w:t>
      </w:r>
      <w:r>
        <w:rPr>
          <w:szCs w:val="28"/>
        </w:rPr>
        <w:t xml:space="preserve"> </w:t>
      </w:r>
    </w:p>
    <w:p w:rsidR="00771C87" w:rsidRPr="00200540" w:rsidRDefault="00771C87" w:rsidP="007A7220">
      <w:pPr>
        <w:spacing w:after="0" w:line="360" w:lineRule="auto"/>
        <w:ind w:firstLine="708"/>
        <w:jc w:val="both"/>
        <w:rPr>
          <w:szCs w:val="28"/>
        </w:rPr>
      </w:pPr>
      <w:r w:rsidRPr="00200540">
        <w:rPr>
          <w:szCs w:val="28"/>
        </w:rPr>
        <w:t>В общем объеме внешнеторгового оборота России на долю государств – участников СНГ в 2012 году приходилось 14,1% (в 2011 году – 15,1%).</w:t>
      </w:r>
    </w:p>
    <w:p w:rsidR="00771C87" w:rsidRPr="00200540" w:rsidRDefault="00771C87" w:rsidP="007A7220">
      <w:pPr>
        <w:spacing w:after="0" w:line="360" w:lineRule="auto"/>
        <w:ind w:firstLine="720"/>
        <w:jc w:val="both"/>
        <w:rPr>
          <w:szCs w:val="28"/>
        </w:rPr>
      </w:pPr>
      <w:r w:rsidRPr="00200540">
        <w:rPr>
          <w:szCs w:val="28"/>
        </w:rPr>
        <w:t>Товарооборот России с государствами – участниками СНГ в 2012 году составил 117,7 млрд. долларов США, в том числе экспорт – 77,4 млрд. долларов США, импорт – 40,3 млрд. долларов США. По сравнению с 2011 годом товарооборот России с государствами – участниками СНГ сократился на 5,3%, в том числе экспорт – на 2,5%, импорт – на 10,1%.</w:t>
      </w:r>
    </w:p>
    <w:p w:rsidR="00771C87" w:rsidRPr="00200540" w:rsidRDefault="00771C87" w:rsidP="002B24B1">
      <w:pPr>
        <w:spacing w:after="0"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Специфическая ситуация, сложившаяся в экономике России, выражающаяся в стагнации национальной экономики позволила нам составить итоговый прогноз данного показателя на 2013 год (рисунок 2). </w:t>
      </w:r>
    </w:p>
    <w:p w:rsidR="00771C87" w:rsidRDefault="00771C87" w:rsidP="00C40423">
      <w:pPr>
        <w:spacing w:after="0" w:line="360" w:lineRule="auto"/>
        <w:jc w:val="center"/>
        <w:rPr>
          <w:szCs w:val="28"/>
        </w:rPr>
      </w:pPr>
      <w:r w:rsidRPr="007A5317">
        <w:rPr>
          <w:noProof/>
          <w:szCs w:val="28"/>
          <w:lang w:eastAsia="ru-RU"/>
        </w:rPr>
        <w:pict>
          <v:shape id="Рисунок 2" o:spid="_x0000_i1026" type="#_x0000_t75" alt="Безымянный2" style="width:459.6pt;height:4in;visibility:visible">
            <v:imagedata r:id="rId8" o:title=""/>
          </v:shape>
        </w:pict>
      </w:r>
      <w:r>
        <w:rPr>
          <w:szCs w:val="28"/>
        </w:rPr>
        <w:t>Рисунок 2 – Изменение товарооборота Российской Федерации со странами ближнего и дальнего зарубежья, 2009-2013 гг.</w:t>
      </w:r>
    </w:p>
    <w:p w:rsidR="00771C87" w:rsidRDefault="00771C87" w:rsidP="00C40423">
      <w:pPr>
        <w:spacing w:after="0" w:line="360" w:lineRule="auto"/>
        <w:ind w:firstLine="720"/>
        <w:jc w:val="both"/>
        <w:rPr>
          <w:szCs w:val="28"/>
        </w:rPr>
      </w:pPr>
    </w:p>
    <w:p w:rsidR="00771C87" w:rsidRDefault="00771C87" w:rsidP="002B24B1">
      <w:pPr>
        <w:spacing w:after="0" w:line="360" w:lineRule="auto"/>
        <w:ind w:firstLine="720"/>
        <w:jc w:val="both"/>
        <w:rPr>
          <w:szCs w:val="28"/>
        </w:rPr>
      </w:pPr>
      <w:r>
        <w:rPr>
          <w:szCs w:val="28"/>
        </w:rPr>
        <w:t>Результат прогноза не внушает оптимизма относительно дальнейших экономических перспектив, он показывает минимальное расхождение с данными за 2012 год в размере 0,15 процента и итогами 2011 года – 2,09%, таким образом, внешнеторговая деятельность России фактически подтверждает рецессивное состояние экономики и констатирует отсутствие позитивных сдвигов в экономике и обусловливает настоятельную потребность в качественных изменениях в экономической политике Правительства Российской Федерации.</w:t>
      </w:r>
    </w:p>
    <w:p w:rsidR="00771C87" w:rsidRPr="00200540" w:rsidRDefault="00771C87" w:rsidP="002B24B1">
      <w:pPr>
        <w:spacing w:after="0" w:line="360" w:lineRule="auto"/>
        <w:ind w:firstLine="720"/>
        <w:jc w:val="both"/>
        <w:rPr>
          <w:szCs w:val="28"/>
        </w:rPr>
      </w:pPr>
      <w:r>
        <w:rPr>
          <w:szCs w:val="28"/>
        </w:rPr>
        <w:t>Статистические данные наглядно демонстрируют неэффективность концентрации на текущей модели экономического роста и высокие риски связанные с ориентацией на экспорт топливно-энергетических товаров, доля которых в 2012 году выросла по сравнению с 2011 годом на 0,3% и достигла 73% в структуре экспорта в страны дальнего зарубежья (рисунок 3).</w:t>
      </w:r>
    </w:p>
    <w:p w:rsidR="00771C87" w:rsidRDefault="00771C87" w:rsidP="00C40423">
      <w:pPr>
        <w:spacing w:after="0" w:line="360" w:lineRule="auto"/>
        <w:jc w:val="center"/>
        <w:rPr>
          <w:szCs w:val="28"/>
        </w:rPr>
      </w:pPr>
      <w:r w:rsidRPr="007A5317">
        <w:rPr>
          <w:noProof/>
          <w:szCs w:val="28"/>
          <w:lang w:eastAsia="ru-RU"/>
        </w:rPr>
        <w:pict>
          <v:shape id="Рисунок 3" o:spid="_x0000_i1027" type="#_x0000_t75" alt="Безымянный3" style="width:456pt;height:297pt;visibility:visible">
            <v:imagedata r:id="rId9" o:title=""/>
          </v:shape>
        </w:pict>
      </w:r>
      <w:r>
        <w:rPr>
          <w:szCs w:val="28"/>
        </w:rPr>
        <w:t xml:space="preserve">Рисунок 3 – Взаимосвязь показателей сальдо внешнеторгового баланса и среднегодовой цены на нефть марки </w:t>
      </w:r>
      <w:r>
        <w:rPr>
          <w:szCs w:val="28"/>
          <w:lang w:val="en-US"/>
        </w:rPr>
        <w:t>Urals</w:t>
      </w:r>
      <w:r>
        <w:rPr>
          <w:szCs w:val="28"/>
        </w:rPr>
        <w:t>, 2009-2013 гг.</w:t>
      </w:r>
    </w:p>
    <w:p w:rsidR="00771C87" w:rsidRPr="00200540" w:rsidRDefault="00771C87" w:rsidP="000472BD">
      <w:pPr>
        <w:spacing w:after="0" w:line="360" w:lineRule="auto"/>
        <w:ind w:firstLine="720"/>
        <w:jc w:val="both"/>
        <w:rPr>
          <w:szCs w:val="28"/>
        </w:rPr>
      </w:pPr>
      <w:r>
        <w:rPr>
          <w:szCs w:val="28"/>
        </w:rPr>
        <w:t>В целом, ситуацию с положительным сальдо внешнеторгового баланса можно признать умеренно положительным фактором для федерального бюджета, однако, надлежит учитывать и возможные риски, сопутствующие столь сильной зависимости доходов бюджета от конъюнктурных изменений цен на рынках топливно-энергетических товаров, а также от обусловленных развитием технологий добычи сложноизвлекаемых углеводородов структурных изменений в балансе спроса и предложения на нефтепродукты и продукцию отраслей газодобычи.</w:t>
      </w:r>
    </w:p>
    <w:p w:rsidR="00771C87" w:rsidRDefault="00771C87" w:rsidP="00C40423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 xml:space="preserve">Так, в 2012 году Федеральная налоговая служба РФ перечислила в федеральный бюджет 5160 миллиардов рублей, в то же время Федеральная таможенная служба РФ (ФТС РФ) в 2012 году обеспечила поступления в бюджет на </w:t>
      </w:r>
      <w:r w:rsidRPr="000472BD">
        <w:rPr>
          <w:szCs w:val="28"/>
        </w:rPr>
        <w:t>сумму 6581 миллиарда рублей, превысив показатели 2011 года на 10,6% [2]. Таким образом, по итогам 2012 года ФТС РФ собрала денежных средств на 27,5% больше чем Федеральная налоговая служба и перечислила более 50% доходной части федерального бюджета [</w:t>
      </w:r>
      <w:r w:rsidRPr="009246BD">
        <w:rPr>
          <w:szCs w:val="28"/>
        </w:rPr>
        <w:t>3</w:t>
      </w:r>
      <w:r w:rsidRPr="000472BD">
        <w:rPr>
          <w:szCs w:val="28"/>
        </w:rPr>
        <w:t xml:space="preserve">]. </w:t>
      </w:r>
    </w:p>
    <w:p w:rsidR="00771C87" w:rsidRPr="00200540" w:rsidRDefault="00771C87" w:rsidP="00C40423">
      <w:pPr>
        <w:spacing w:after="0" w:line="360" w:lineRule="auto"/>
        <w:ind w:firstLine="709"/>
        <w:jc w:val="both"/>
        <w:rPr>
          <w:szCs w:val="28"/>
        </w:rPr>
      </w:pPr>
      <w:r w:rsidRPr="000472BD">
        <w:rPr>
          <w:szCs w:val="28"/>
        </w:rPr>
        <w:t>По нашему мнению, сложившуюся ситуацию следует признать критической, так как из суммы поступлений от таможенных платежей, налогов и сборов при внешнеэкономических операциях 4010 млрд. рублей (62,2% общей суммы таможенных платежей) получены в виде вывозных таможенных пошлин, а, следовательно, преимущественно от экспорта таких сырьевых товаров как нефть и продукты ее переработки, природный газ, удобрения, металлы, металлический лом и продукты их промежуточной переработки, лесоматериалы, дорогостоящие морепродукты и некоторые виды сельскохозяйственного сырья низкой степени переработки. Указанной сумме полученных вывозных таможенных платежей корреспондируют 660 миллиардов рублей ввозных таможенных пошлин, 1557 млрд. рублей от налога на добавленную стоимость (23,7%) и 51 млрд. рублей акцизов (0,8%), что в итоге составляет лишь 2263 млрд. рублей</w:t>
      </w:r>
      <w:r>
        <w:rPr>
          <w:szCs w:val="28"/>
        </w:rPr>
        <w:t xml:space="preserve"> (таблица 1)</w:t>
      </w:r>
      <w:r w:rsidRPr="000472BD">
        <w:rPr>
          <w:szCs w:val="28"/>
        </w:rPr>
        <w:t>.</w:t>
      </w:r>
    </w:p>
    <w:p w:rsidR="00771C87" w:rsidRPr="00200540" w:rsidRDefault="00771C87" w:rsidP="009E15BE">
      <w:pPr>
        <w:spacing w:after="0" w:line="360" w:lineRule="auto"/>
        <w:jc w:val="center"/>
        <w:rPr>
          <w:szCs w:val="28"/>
        </w:rPr>
      </w:pPr>
      <w:r w:rsidRPr="00200540">
        <w:rPr>
          <w:szCs w:val="28"/>
        </w:rPr>
        <w:t>Таблица 1 – Динамика совокупных экспорта и импорта стран Таможенного союза по укрупненным товарным группам, млрд. долл. США</w:t>
      </w:r>
      <w:r>
        <w:rPr>
          <w:szCs w:val="28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69"/>
        <w:gridCol w:w="990"/>
        <w:gridCol w:w="906"/>
        <w:gridCol w:w="1393"/>
        <w:gridCol w:w="906"/>
        <w:gridCol w:w="906"/>
        <w:gridCol w:w="1316"/>
      </w:tblGrid>
      <w:tr w:rsidR="00771C87" w:rsidTr="009065F4">
        <w:tc>
          <w:tcPr>
            <w:tcW w:w="2869" w:type="dxa"/>
            <w:vMerge w:val="restart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Товарная группа</w:t>
            </w:r>
          </w:p>
        </w:tc>
        <w:tc>
          <w:tcPr>
            <w:tcW w:w="2042" w:type="dxa"/>
            <w:gridSpan w:val="2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Экспорт</w:t>
            </w:r>
          </w:p>
        </w:tc>
        <w:tc>
          <w:tcPr>
            <w:tcW w:w="1428" w:type="dxa"/>
            <w:vMerge w:val="restart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Темп роста экспорта, %</w:t>
            </w:r>
          </w:p>
        </w:tc>
        <w:tc>
          <w:tcPr>
            <w:tcW w:w="1898" w:type="dxa"/>
            <w:gridSpan w:val="2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Импорт</w:t>
            </w:r>
          </w:p>
        </w:tc>
        <w:tc>
          <w:tcPr>
            <w:tcW w:w="1334" w:type="dxa"/>
            <w:vMerge w:val="restart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Темп роста импорта, %</w:t>
            </w:r>
          </w:p>
        </w:tc>
      </w:tr>
      <w:tr w:rsidR="00771C87" w:rsidTr="009065F4">
        <w:tc>
          <w:tcPr>
            <w:tcW w:w="2869" w:type="dxa"/>
            <w:vMerge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</w:p>
        </w:tc>
        <w:tc>
          <w:tcPr>
            <w:tcW w:w="1093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2011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2012</w:t>
            </w:r>
          </w:p>
        </w:tc>
        <w:tc>
          <w:tcPr>
            <w:tcW w:w="1428" w:type="dxa"/>
            <w:vMerge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2011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2012</w:t>
            </w:r>
          </w:p>
        </w:tc>
        <w:tc>
          <w:tcPr>
            <w:tcW w:w="1334" w:type="dxa"/>
            <w:vMerge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</w:p>
        </w:tc>
      </w:tr>
      <w:tr w:rsidR="00771C87" w:rsidTr="009065F4">
        <w:tc>
          <w:tcPr>
            <w:tcW w:w="286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93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428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334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771C87" w:rsidTr="009065F4">
        <w:tc>
          <w:tcPr>
            <w:tcW w:w="2869" w:type="dxa"/>
            <w:vAlign w:val="center"/>
          </w:tcPr>
          <w:p w:rsidR="00771C87" w:rsidRDefault="00771C87" w:rsidP="00C40423">
            <w:pPr>
              <w:spacing w:after="0" w:line="240" w:lineRule="auto"/>
              <w:jc w:val="both"/>
            </w:pPr>
            <w:r>
              <w:t>Продовольственные товары и сельскохозяйственное сырье</w:t>
            </w:r>
          </w:p>
        </w:tc>
        <w:tc>
          <w:tcPr>
            <w:tcW w:w="1093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13,6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18,4</w:t>
            </w:r>
          </w:p>
        </w:tc>
        <w:tc>
          <w:tcPr>
            <w:tcW w:w="1428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135,6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44,0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43,6</w:t>
            </w:r>
          </w:p>
        </w:tc>
        <w:tc>
          <w:tcPr>
            <w:tcW w:w="1334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99,1</w:t>
            </w:r>
          </w:p>
        </w:tc>
      </w:tr>
      <w:tr w:rsidR="00771C87" w:rsidTr="009065F4">
        <w:tc>
          <w:tcPr>
            <w:tcW w:w="2869" w:type="dxa"/>
            <w:vAlign w:val="center"/>
          </w:tcPr>
          <w:p w:rsidR="00771C87" w:rsidRDefault="00771C87" w:rsidP="00C40423">
            <w:pPr>
              <w:spacing w:after="0" w:line="240" w:lineRule="auto"/>
              <w:jc w:val="both"/>
            </w:pPr>
            <w:r>
              <w:t>Минеральные продукты</w:t>
            </w:r>
          </w:p>
        </w:tc>
        <w:tc>
          <w:tcPr>
            <w:tcW w:w="1093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425,2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434,5</w:t>
            </w:r>
          </w:p>
        </w:tc>
        <w:tc>
          <w:tcPr>
            <w:tcW w:w="1428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102,2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9,1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6,2</w:t>
            </w:r>
          </w:p>
        </w:tc>
        <w:tc>
          <w:tcPr>
            <w:tcW w:w="1334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67,7</w:t>
            </w:r>
          </w:p>
        </w:tc>
      </w:tr>
      <w:tr w:rsidR="00771C87" w:rsidTr="009065F4">
        <w:tc>
          <w:tcPr>
            <w:tcW w:w="2869" w:type="dxa"/>
            <w:vAlign w:val="center"/>
          </w:tcPr>
          <w:p w:rsidR="00771C87" w:rsidRDefault="00771C87" w:rsidP="00C40423">
            <w:pPr>
              <w:spacing w:after="0" w:line="240" w:lineRule="auto"/>
              <w:jc w:val="both"/>
            </w:pPr>
            <w:r>
              <w:t>Продукция химической промышленности</w:t>
            </w:r>
          </w:p>
        </w:tc>
        <w:tc>
          <w:tcPr>
            <w:tcW w:w="1093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32,9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33,9</w:t>
            </w:r>
          </w:p>
        </w:tc>
        <w:tc>
          <w:tcPr>
            <w:tcW w:w="1428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103,0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49,7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52,8</w:t>
            </w:r>
          </w:p>
        </w:tc>
        <w:tc>
          <w:tcPr>
            <w:tcW w:w="1334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106,2</w:t>
            </w:r>
          </w:p>
        </w:tc>
      </w:tr>
      <w:tr w:rsidR="00771C87" w:rsidTr="009065F4">
        <w:tc>
          <w:tcPr>
            <w:tcW w:w="2869" w:type="dxa"/>
            <w:vAlign w:val="center"/>
          </w:tcPr>
          <w:p w:rsidR="00771C87" w:rsidRDefault="00771C87" w:rsidP="00C40423">
            <w:pPr>
              <w:spacing w:after="0" w:line="240" w:lineRule="auto"/>
              <w:jc w:val="both"/>
            </w:pPr>
            <w:r>
              <w:t>Древесина и целлюлозно-бумажные изделия</w:t>
            </w:r>
          </w:p>
        </w:tc>
        <w:tc>
          <w:tcPr>
            <w:tcW w:w="1093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10,9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10,3</w:t>
            </w:r>
          </w:p>
        </w:tc>
        <w:tc>
          <w:tcPr>
            <w:tcW w:w="1428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94,5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7,7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7,1</w:t>
            </w:r>
          </w:p>
        </w:tc>
        <w:tc>
          <w:tcPr>
            <w:tcW w:w="1334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92,6</w:t>
            </w:r>
          </w:p>
        </w:tc>
      </w:tr>
      <w:tr w:rsidR="00771C87" w:rsidTr="009065F4">
        <w:tc>
          <w:tcPr>
            <w:tcW w:w="2869" w:type="dxa"/>
            <w:vAlign w:val="center"/>
          </w:tcPr>
          <w:p w:rsidR="00771C87" w:rsidRDefault="00771C87" w:rsidP="00C40423">
            <w:pPr>
              <w:spacing w:after="0" w:line="240" w:lineRule="auto"/>
              <w:jc w:val="both"/>
            </w:pPr>
            <w:r>
              <w:t>Текстиль, текстильные изделия и обувь</w:t>
            </w:r>
          </w:p>
        </w:tc>
        <w:tc>
          <w:tcPr>
            <w:tcW w:w="1093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1,0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0,9</w:t>
            </w:r>
          </w:p>
        </w:tc>
        <w:tc>
          <w:tcPr>
            <w:tcW w:w="1428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89,1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17,0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17,7</w:t>
            </w:r>
          </w:p>
        </w:tc>
        <w:tc>
          <w:tcPr>
            <w:tcW w:w="1334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103,8</w:t>
            </w:r>
          </w:p>
        </w:tc>
      </w:tr>
      <w:tr w:rsidR="00771C87" w:rsidTr="009065F4">
        <w:tc>
          <w:tcPr>
            <w:tcW w:w="2869" w:type="dxa"/>
            <w:vAlign w:val="center"/>
          </w:tcPr>
          <w:p w:rsidR="00771C87" w:rsidRDefault="00771C87" w:rsidP="00C40423">
            <w:pPr>
              <w:spacing w:after="0" w:line="240" w:lineRule="auto"/>
              <w:jc w:val="both"/>
            </w:pPr>
            <w:r>
              <w:t>Металлы и изделия из них</w:t>
            </w:r>
          </w:p>
        </w:tc>
        <w:tc>
          <w:tcPr>
            <w:tcW w:w="1093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53,8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51,8</w:t>
            </w:r>
          </w:p>
        </w:tc>
        <w:tc>
          <w:tcPr>
            <w:tcW w:w="1428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96,3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23,4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24,2</w:t>
            </w:r>
          </w:p>
        </w:tc>
        <w:tc>
          <w:tcPr>
            <w:tcW w:w="1334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103,7</w:t>
            </w:r>
          </w:p>
        </w:tc>
      </w:tr>
      <w:tr w:rsidR="00771C87" w:rsidTr="009065F4">
        <w:tc>
          <w:tcPr>
            <w:tcW w:w="2869" w:type="dxa"/>
            <w:vAlign w:val="center"/>
          </w:tcPr>
          <w:p w:rsidR="00771C87" w:rsidRDefault="00771C87" w:rsidP="00C40423">
            <w:pPr>
              <w:spacing w:after="0" w:line="240" w:lineRule="auto"/>
              <w:jc w:val="both"/>
            </w:pPr>
            <w:r>
              <w:t>Машины, оборудование и транспортные средства</w:t>
            </w:r>
          </w:p>
        </w:tc>
        <w:tc>
          <w:tcPr>
            <w:tcW w:w="1093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14,2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14,5</w:t>
            </w:r>
          </w:p>
        </w:tc>
        <w:tc>
          <w:tcPr>
            <w:tcW w:w="1428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102,7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149,9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164,0</w:t>
            </w:r>
          </w:p>
        </w:tc>
        <w:tc>
          <w:tcPr>
            <w:tcW w:w="1334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109,4</w:t>
            </w:r>
          </w:p>
        </w:tc>
      </w:tr>
      <w:tr w:rsidR="00771C87" w:rsidTr="009065F4">
        <w:tc>
          <w:tcPr>
            <w:tcW w:w="2869" w:type="dxa"/>
            <w:vAlign w:val="center"/>
          </w:tcPr>
          <w:p w:rsidR="00771C87" w:rsidRDefault="00771C87" w:rsidP="00C40423">
            <w:pPr>
              <w:spacing w:after="0" w:line="240" w:lineRule="auto"/>
              <w:jc w:val="both"/>
            </w:pPr>
            <w:r>
              <w:t>Другие товары</w:t>
            </w:r>
          </w:p>
        </w:tc>
        <w:tc>
          <w:tcPr>
            <w:tcW w:w="1093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0,4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428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125,5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1,6</w:t>
            </w:r>
          </w:p>
        </w:tc>
        <w:tc>
          <w:tcPr>
            <w:tcW w:w="949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1,6</w:t>
            </w:r>
          </w:p>
        </w:tc>
        <w:tc>
          <w:tcPr>
            <w:tcW w:w="1334" w:type="dxa"/>
            <w:vAlign w:val="center"/>
          </w:tcPr>
          <w:p w:rsidR="00771C87" w:rsidRDefault="00771C87" w:rsidP="00C40423">
            <w:pPr>
              <w:spacing w:after="0" w:line="240" w:lineRule="auto"/>
              <w:jc w:val="center"/>
            </w:pPr>
            <w:r>
              <w:t>103,9</w:t>
            </w:r>
          </w:p>
        </w:tc>
      </w:tr>
    </w:tbl>
    <w:p w:rsidR="00771C87" w:rsidRPr="001840C9" w:rsidRDefault="00771C87" w:rsidP="00C40423">
      <w:pPr>
        <w:spacing w:after="0" w:line="360" w:lineRule="auto"/>
        <w:ind w:firstLine="709"/>
        <w:jc w:val="both"/>
      </w:pPr>
      <w:r>
        <w:t xml:space="preserve">*Составлено по данным Евразийской экономической комиссии </w:t>
      </w:r>
      <w:r w:rsidRPr="001840C9">
        <w:t>[</w:t>
      </w:r>
      <w:r w:rsidRPr="009246BD">
        <w:t>4</w:t>
      </w:r>
      <w:r w:rsidRPr="001840C9">
        <w:t>]</w:t>
      </w:r>
      <w:r>
        <w:t>.</w:t>
      </w:r>
    </w:p>
    <w:p w:rsidR="00771C87" w:rsidRDefault="00771C87" w:rsidP="00C40423">
      <w:pPr>
        <w:spacing w:after="0" w:line="360" w:lineRule="auto"/>
        <w:ind w:firstLine="709"/>
        <w:jc w:val="both"/>
      </w:pPr>
    </w:p>
    <w:p w:rsidR="00771C87" w:rsidRPr="00200540" w:rsidRDefault="00771C87" w:rsidP="009246BD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>Динамику таможенных перечислений также можно описать как негативную, и если в 2006 году импортные таможенные платежи составляли 947 млрд. рублей (экспортные 1845 млрд. рублей), то в 2012 году сумма импортных платежей выросла на 244%, достигнув 2310 млрд. рублей, однако за указанный период экспортные платежи выросли лишь на 222% [</w:t>
      </w:r>
      <w:r w:rsidRPr="009246BD">
        <w:rPr>
          <w:szCs w:val="28"/>
        </w:rPr>
        <w:t>3</w:t>
      </w:r>
      <w:r w:rsidRPr="00200540">
        <w:rPr>
          <w:szCs w:val="28"/>
        </w:rPr>
        <w:t xml:space="preserve">]. </w:t>
      </w:r>
    </w:p>
    <w:p w:rsidR="00771C87" w:rsidRPr="00200540" w:rsidRDefault="00771C87" w:rsidP="009E15BE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 xml:space="preserve">По данным Евразийской экономической комиссии стран Таможенного союза Россия занимает 80% долю в экспорте минеральных продуктов, металлов и изделий из них, причем в общей структуре экспорта стран-членов Таможенного союза доля данных категорий товаров составляет соответственно 72,4% для минеральных продуктов и 8,6% для металлов и металлоизделий </w:t>
      </w:r>
      <w:r>
        <w:rPr>
          <w:szCs w:val="28"/>
        </w:rPr>
        <w:t>[5</w:t>
      </w:r>
      <w:r w:rsidRPr="00200540">
        <w:rPr>
          <w:szCs w:val="28"/>
        </w:rPr>
        <w:t>].</w:t>
      </w:r>
    </w:p>
    <w:p w:rsidR="00771C87" w:rsidRDefault="00771C87" w:rsidP="009E15BE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>Приведенные данные требуют неотложного применения энергичных мер по выправлению ситуации в отношении структуры российского экспорта и структуры экономики в целом. Также Правительству РФ ранее не следовало пренебрегать и активными методами таможенно-тарифной и нетарифной политики, но ретроспективный анализ динамики средневзвешенной ставки таможенного тарифа показывает, что данные меры применялись крайне непоследовательно, перемежались периодами смягчения и ужесточения таможенно-тарифной политики.</w:t>
      </w:r>
    </w:p>
    <w:p w:rsidR="00771C87" w:rsidRPr="00200540" w:rsidRDefault="00771C87" w:rsidP="00C40423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 xml:space="preserve">История ГАТТ ВТО практически представляет собой </w:t>
      </w:r>
      <w:r>
        <w:rPr>
          <w:szCs w:val="28"/>
        </w:rPr>
        <w:t>ретроспективу</w:t>
      </w:r>
      <w:r w:rsidRPr="00200540">
        <w:rPr>
          <w:szCs w:val="28"/>
        </w:rPr>
        <w:t xml:space="preserve"> снижения </w:t>
      </w:r>
      <w:r>
        <w:rPr>
          <w:szCs w:val="28"/>
        </w:rPr>
        <w:t xml:space="preserve">ставок </w:t>
      </w:r>
      <w:r w:rsidRPr="00200540">
        <w:rPr>
          <w:szCs w:val="28"/>
        </w:rPr>
        <w:t>таможенных пошлин. Современная история таможенного тарифа РФ более богата</w:t>
      </w:r>
      <w:r>
        <w:rPr>
          <w:szCs w:val="28"/>
        </w:rPr>
        <w:t xml:space="preserve"> и отмечена эпизодами как повышения, так и повышения уровня таможенного обложения экспортно-импортных операций</w:t>
      </w:r>
      <w:r w:rsidRPr="00200540">
        <w:rPr>
          <w:szCs w:val="28"/>
        </w:rPr>
        <w:t>. Импорт товаров в Россию до середины 1992 года осуществлялся беспошлинно. В течение второй половины 1992 г. действовал временный импортный тариф, ставки которого менялись дважды: вначале средний уровень ставок составлял 5%, затем он был вдвое увеличен</w:t>
      </w:r>
      <w:r>
        <w:rPr>
          <w:szCs w:val="28"/>
        </w:rPr>
        <w:t xml:space="preserve"> </w:t>
      </w:r>
      <w:r w:rsidRPr="00B30E4B">
        <w:rPr>
          <w:szCs w:val="28"/>
        </w:rPr>
        <w:t>[</w:t>
      </w:r>
      <w:r>
        <w:rPr>
          <w:szCs w:val="28"/>
        </w:rPr>
        <w:t>6</w:t>
      </w:r>
      <w:r w:rsidRPr="00B30E4B">
        <w:rPr>
          <w:szCs w:val="28"/>
        </w:rPr>
        <w:t>]</w:t>
      </w:r>
      <w:r w:rsidRPr="00200540">
        <w:rPr>
          <w:szCs w:val="28"/>
        </w:rPr>
        <w:t>.</w:t>
      </w:r>
    </w:p>
    <w:p w:rsidR="00771C87" w:rsidRPr="00200540" w:rsidRDefault="00771C87" w:rsidP="00C40423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>В 1993 году был принят постоянный импортный тариф, перечень подлежащих налогообложению товаров расширился, а ставки таможенных пошлин были дифференцированы от 5 до 50%.</w:t>
      </w:r>
    </w:p>
    <w:p w:rsidR="00771C87" w:rsidRPr="00200540" w:rsidRDefault="00771C87" w:rsidP="00C40423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 xml:space="preserve">Например, до 2001 года средневзвешенный импортный таможенный тариф достигал 14%, в последующие годы данный показатель был необоснованно снижен до 9,8% под влиянием переговорного процесса о вступлении России в ВТО [6]. Это весьма негативно сказалось на российских товаропроизводителях, которые в после кризиса 1998 года получили мощный толчок к своему развитию благодаря девальвации национальной валюты и достаточно эффективной экономической политике правительства Е.М. Примакова, в том числе и в таможенно-тарифной сфере. К 2002 году задел по ценовым аспектам конкурентоспособности был исчерпан упомянутым выше односторонним снижением средневзвешенной ставки импортного тарифа, ростом реального курса рубля по отношению к основным валютам, а также повышением цен на продукцию и услуги естественных монополий. Средневзвешенная ставка ввозных таможенных пошлин </w:t>
      </w:r>
      <w:r>
        <w:rPr>
          <w:szCs w:val="28"/>
        </w:rPr>
        <w:t xml:space="preserve">уже </w:t>
      </w:r>
      <w:r w:rsidRPr="00200540">
        <w:rPr>
          <w:szCs w:val="28"/>
        </w:rPr>
        <w:t xml:space="preserve">в 2009 году с учетом льгот и преференций </w:t>
      </w:r>
      <w:r>
        <w:rPr>
          <w:szCs w:val="28"/>
        </w:rPr>
        <w:t xml:space="preserve">достигла </w:t>
      </w:r>
      <w:r w:rsidRPr="00200540">
        <w:rPr>
          <w:szCs w:val="28"/>
        </w:rPr>
        <w:t>10,61%.</w:t>
      </w:r>
    </w:p>
    <w:p w:rsidR="00771C87" w:rsidRPr="00200540" w:rsidRDefault="00771C87" w:rsidP="00C40423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 xml:space="preserve">Утверждение 16 июля 2012 года новых редакций Товарной номенклатуры ВЭД Таможенного союза и Единого таможенного тарифа Таможенного союза было вызвано состоявшимся вступлением России в ВТО – закономерным следствием этого события явилось очередное снижение средневзвешенной ставки импортного тарифа с 9,6% до 7,8%. В прогнозе социально экономического развития России на 2012-2014 гг., составлявшемся Минэкономразвития РФ еще до вступления в ВТО, курс на снижение импортных ставок оставался прежним, согласно Прогнозу уровень ставок должен был снижаться «до 9,5% в 2012 году, 9,33% в 2013 году, 9,15% в 2014 году» [7], причем снижение ставки при вероятном вступлении в ВТО оценивалось всего в 0,8 процентных пункта. </w:t>
      </w:r>
    </w:p>
    <w:p w:rsidR="00771C87" w:rsidRDefault="00771C87" w:rsidP="00C40423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 xml:space="preserve">Сравнение средних ввозных пошлин </w:t>
      </w:r>
      <w:r>
        <w:rPr>
          <w:szCs w:val="28"/>
        </w:rPr>
        <w:t>Таможенного союза</w:t>
      </w:r>
      <w:r w:rsidRPr="00200540">
        <w:rPr>
          <w:szCs w:val="28"/>
        </w:rPr>
        <w:t xml:space="preserve"> и средних связанных пошлин Украины указывает на значительное отличие в уровнях тарифной защиты. Он выше в случае </w:t>
      </w:r>
      <w:r>
        <w:rPr>
          <w:szCs w:val="28"/>
        </w:rPr>
        <w:t xml:space="preserve">Таможенного союза </w:t>
      </w:r>
      <w:r w:rsidRPr="00200540">
        <w:rPr>
          <w:szCs w:val="28"/>
        </w:rPr>
        <w:t>для 13 из 16 секторов экономики. Средний таможенный тариф Украины почти вдвое ниже, чем средний тариф Т</w:t>
      </w:r>
      <w:r>
        <w:rPr>
          <w:szCs w:val="28"/>
        </w:rPr>
        <w:t>аможенного союза</w:t>
      </w:r>
      <w:r w:rsidRPr="00200540">
        <w:rPr>
          <w:szCs w:val="28"/>
        </w:rPr>
        <w:t>.</w:t>
      </w:r>
      <w:r>
        <w:rPr>
          <w:szCs w:val="28"/>
        </w:rPr>
        <w:t xml:space="preserve"> </w:t>
      </w:r>
      <w:r w:rsidRPr="00200540">
        <w:rPr>
          <w:szCs w:val="28"/>
        </w:rPr>
        <w:t xml:space="preserve">Средневзвешенный таможенный тариф в Кыргызстане составляет 5,1%, </w:t>
      </w:r>
      <w:r>
        <w:rPr>
          <w:szCs w:val="28"/>
        </w:rPr>
        <w:t xml:space="preserve">а </w:t>
      </w:r>
      <w:r w:rsidRPr="00200540">
        <w:rPr>
          <w:szCs w:val="28"/>
        </w:rPr>
        <w:t xml:space="preserve">в </w:t>
      </w:r>
      <w:r>
        <w:rPr>
          <w:szCs w:val="28"/>
        </w:rPr>
        <w:t xml:space="preserve">других </w:t>
      </w:r>
      <w:r w:rsidRPr="00200540">
        <w:rPr>
          <w:szCs w:val="28"/>
        </w:rPr>
        <w:t>странах Таможенного союза - 10,6%.</w:t>
      </w:r>
      <w:r>
        <w:rPr>
          <w:szCs w:val="28"/>
        </w:rPr>
        <w:t xml:space="preserve"> </w:t>
      </w:r>
    </w:p>
    <w:p w:rsidR="00771C87" w:rsidRDefault="00771C87" w:rsidP="00C40423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История изменения и перспективные прогнозы Министерства экономического развития РФ в отношении уровня таможенной защиты национальных товаропроизводителей приведена на рисунке 4.</w:t>
      </w:r>
    </w:p>
    <w:p w:rsidR="00771C87" w:rsidRPr="0054745F" w:rsidRDefault="00771C87" w:rsidP="00EB784B">
      <w:pPr>
        <w:spacing w:after="0" w:line="360" w:lineRule="auto"/>
        <w:jc w:val="center"/>
        <w:rPr>
          <w:szCs w:val="28"/>
        </w:rPr>
      </w:pPr>
      <w:r w:rsidRPr="007A5317">
        <w:rPr>
          <w:noProof/>
          <w:szCs w:val="28"/>
          <w:lang w:eastAsia="ru-RU"/>
        </w:rPr>
        <w:pict>
          <v:shape id="Рисунок 4" o:spid="_x0000_i1028" type="#_x0000_t75" alt="Безымянный4" style="width:453pt;height:309.6pt;visibility:visible">
            <v:imagedata r:id="rId10" o:title=""/>
          </v:shape>
        </w:pict>
      </w:r>
      <w:r>
        <w:rPr>
          <w:szCs w:val="28"/>
        </w:rPr>
        <w:t xml:space="preserve">Рисунок 4 – Изменение ставок средневзвешенного тарифа в 1997-2013 гг. и прогноз их динамики на период до 2016 года </w:t>
      </w:r>
      <w:r w:rsidRPr="0054745F">
        <w:rPr>
          <w:szCs w:val="28"/>
        </w:rPr>
        <w:t>[8</w:t>
      </w:r>
      <w:r>
        <w:rPr>
          <w:szCs w:val="28"/>
        </w:rPr>
        <w:t>,</w:t>
      </w:r>
      <w:r w:rsidRPr="0054745F">
        <w:rPr>
          <w:szCs w:val="28"/>
        </w:rPr>
        <w:t xml:space="preserve"> 9]</w:t>
      </w:r>
    </w:p>
    <w:p w:rsidR="00771C87" w:rsidRDefault="00771C87" w:rsidP="00EB784B">
      <w:pPr>
        <w:spacing w:after="0" w:line="360" w:lineRule="auto"/>
        <w:ind w:firstLine="709"/>
        <w:jc w:val="both"/>
        <w:rPr>
          <w:szCs w:val="28"/>
        </w:rPr>
      </w:pPr>
    </w:p>
    <w:p w:rsidR="00771C87" w:rsidRPr="00DD6B6C" w:rsidRDefault="00771C87" w:rsidP="00EB784B">
      <w:pPr>
        <w:spacing w:after="0" w:line="360" w:lineRule="auto"/>
        <w:ind w:firstLine="709"/>
        <w:jc w:val="both"/>
        <w:rPr>
          <w:szCs w:val="28"/>
        </w:rPr>
      </w:pPr>
      <w:r w:rsidRPr="00200540">
        <w:rPr>
          <w:szCs w:val="28"/>
        </w:rPr>
        <w:t xml:space="preserve">Конкурентоспособность российских фирм и место </w:t>
      </w:r>
      <w:r w:rsidRPr="00DD6B6C">
        <w:rPr>
          <w:szCs w:val="28"/>
        </w:rPr>
        <w:t>РФ в рейтинге глобальной конкурентоспособности всемирного экономического форума, как закономерное явление, по-прежнему остаются на низком уровне. Например, в рейтинге глобальной конкурентоспособности ВЭФ Россия стабильно находится лишь во второй трети списка с превалирующей тенденцией к ухудшению показателей: в 2005г. – 53 место, в 2006 г. – 62, в 2007 г. – 58, в 2008 г. – 51, в 2009 г. – 63, в 2010 г. – 63, в 2011 г. – 66, в 2012 году лишь 67 место. Схожая ситуация складывается и по социально-экономическим аспектам оценки конкурентоспособности, в частности по индексу развития человеческого потенциала.</w:t>
      </w:r>
    </w:p>
    <w:p w:rsidR="00771C87" w:rsidRPr="00DD6B6C" w:rsidRDefault="00771C87" w:rsidP="00EB784B">
      <w:pPr>
        <w:spacing w:after="0" w:line="360" w:lineRule="auto"/>
        <w:ind w:firstLine="709"/>
        <w:jc w:val="both"/>
        <w:rPr>
          <w:szCs w:val="28"/>
        </w:rPr>
      </w:pPr>
      <w:r w:rsidRPr="00DD6B6C">
        <w:rPr>
          <w:szCs w:val="28"/>
        </w:rPr>
        <w:t xml:space="preserve">Переход от сырьевой направленности экономики к инновационному развитию насущная потребность, стоящая на повестке дня, так как в товарной структуре </w:t>
      </w:r>
      <w:r w:rsidRPr="00DD6B6C">
        <w:rPr>
          <w:bCs/>
          <w:szCs w:val="28"/>
        </w:rPr>
        <w:t xml:space="preserve">импорта из стран дальнего зарубежья </w:t>
      </w:r>
      <w:r w:rsidRPr="00DD6B6C">
        <w:rPr>
          <w:szCs w:val="28"/>
        </w:rPr>
        <w:t>на долю</w:t>
      </w:r>
      <w:r w:rsidRPr="00DD6B6C">
        <w:rPr>
          <w:bCs/>
          <w:szCs w:val="28"/>
        </w:rPr>
        <w:t xml:space="preserve"> </w:t>
      </w:r>
      <w:r w:rsidRPr="00DD6B6C">
        <w:rPr>
          <w:szCs w:val="28"/>
        </w:rPr>
        <w:t xml:space="preserve">машин и оборудования в 2012 году приходилось 52%, а на долю стран СНГ 38%, тогда как в 2011 году место этого показатели было ниже соответственно на 1,1 и 4,8%. Доля экспорта машин и оборудования в страны дальнего зарубежья на указанный период не изменилась, а экспорт в страны СНГ увеличился лишь на 0,5% [10]. Отсюда следует вывод о продолжающейся тенденции падения доли продукции высокого передела в экспорте российских предприятий вызванной снижением их конкурентоспособности под давлением неэффективной торгово-промышленной политики государства и иностранных конкурентов. </w:t>
      </w:r>
    </w:p>
    <w:p w:rsidR="00771C87" w:rsidRDefault="00771C87" w:rsidP="00C40423">
      <w:pPr>
        <w:spacing w:after="0" w:line="360" w:lineRule="auto"/>
        <w:ind w:firstLine="709"/>
        <w:jc w:val="both"/>
      </w:pPr>
      <w:r>
        <w:t xml:space="preserve">Всемирная торговая организация снижает возможности по поддержке российских предприятий и, таким образом, возникает необходимость создания эффективной методики оперативной оценки последствий, сопряженных с изменением ставок импортного тарифа. Вместе с тем таможенно-тарифная защита лишь один из факторов из которых складывается конкурентоспособность фирм на рынке и это обстоятельство требует построения многофакторной модели, в которой таможенно-тарифная политика государства лишь одна из переменных. Мы полагаем, обоснованным подход профессора Л.Я. Мищенко и А.И. Хомутовой считать ключевыми факторами конкурентоспособности уровень инвестиций в технологии и социально-экономическое развитие общества, состояние институциональной среды и систему защиты национальных интересов, учитывающую процессы глобализации и открытость современной экономики для свободного перемещения товаров, услуг и капиталов </w:t>
      </w:r>
      <w:r w:rsidRPr="00907929">
        <w:t>[</w:t>
      </w:r>
      <w:r>
        <w:t>11</w:t>
      </w:r>
      <w:r w:rsidRPr="00907929">
        <w:t>]</w:t>
      </w:r>
      <w:r>
        <w:t>.</w:t>
      </w:r>
    </w:p>
    <w:p w:rsidR="00771C87" w:rsidRDefault="00771C87" w:rsidP="002D189D">
      <w:pPr>
        <w:spacing w:after="0" w:line="360" w:lineRule="auto"/>
        <w:ind w:firstLine="709"/>
        <w:jc w:val="both"/>
      </w:pPr>
      <w:r>
        <w:t xml:space="preserve">При реализации управляющих воздействий на экономические субъекты со стороны государства требуется достаточно эффективная процедура их оценки способная учитывать в своей модели прогноза воздействия на конкурентоспособность национальных товаропроизводителей в первую очередь данные государственной статистики. Одновременное нахождение Российской Федерации в двух интеграционных группировках осложняется по-прежнему не завершенным процессом вступления во Всемирную торговую организацию и поэтому схема поддержки конкурентоспособности отечественных производителей существенно осложнена набором установленных в Таможенном союзе административных процедур по защите российских фирм на внутреннем рынке. При построении модели оценки конкурентоспособности внутренних товаропроизводителей и влиянии на нее ставки таможенного тарифа, российскому правительству следует исходить из неукоснительного следования общепризнанному принципу эскалации таможенного тарифа. </w:t>
      </w:r>
    </w:p>
    <w:p w:rsidR="00771C87" w:rsidRDefault="00771C87" w:rsidP="002D189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Таким образом, модель строится исходя из формулы номинальной</w:t>
      </w:r>
      <w:r w:rsidRPr="00801376">
        <w:rPr>
          <w:szCs w:val="28"/>
        </w:rPr>
        <w:t xml:space="preserve"> ставк</w:t>
      </w:r>
      <w:r>
        <w:rPr>
          <w:szCs w:val="28"/>
        </w:rPr>
        <w:t>и</w:t>
      </w:r>
      <w:r w:rsidRPr="00801376">
        <w:rPr>
          <w:szCs w:val="28"/>
        </w:rPr>
        <w:t xml:space="preserve"> таможенной пошлины</w:t>
      </w:r>
      <w:r w:rsidRPr="00096026">
        <w:rPr>
          <w:szCs w:val="28"/>
        </w:rPr>
        <w:t xml:space="preserve"> </w:t>
      </w:r>
      <w:r>
        <w:rPr>
          <w:szCs w:val="28"/>
          <w:lang w:val="en-US"/>
        </w:rPr>
        <w:t>NR</w:t>
      </w:r>
      <w:r w:rsidRPr="00096026">
        <w:rPr>
          <w:szCs w:val="28"/>
        </w:rPr>
        <w:t xml:space="preserve"> </w:t>
      </w:r>
      <w:r w:rsidRPr="00712760">
        <w:rPr>
          <w:szCs w:val="28"/>
        </w:rPr>
        <w:t>(</w:t>
      </w:r>
      <w:r>
        <w:rPr>
          <w:szCs w:val="28"/>
          <w:lang w:val="en-US"/>
        </w:rPr>
        <w:t>Nominal</w:t>
      </w:r>
      <w:r w:rsidRPr="00712760">
        <w:rPr>
          <w:szCs w:val="28"/>
        </w:rPr>
        <w:t xml:space="preserve"> rate of customs duty)</w:t>
      </w:r>
      <w:r>
        <w:rPr>
          <w:szCs w:val="28"/>
        </w:rPr>
        <w:t>:</w:t>
      </w:r>
    </w:p>
    <w:p w:rsidR="00771C87" w:rsidRPr="00EA54DA" w:rsidRDefault="00771C87" w:rsidP="002D189D">
      <w:pPr>
        <w:spacing w:line="360" w:lineRule="auto"/>
        <w:ind w:firstLine="709"/>
        <w:jc w:val="both"/>
        <w:rPr>
          <w:i/>
          <w:szCs w:val="28"/>
        </w:rPr>
      </w:pPr>
      <w:r>
        <w:pict>
          <v:shape id="_x0000_i1029" type="#_x0000_t75" style="width:100.8pt;height:25.8pt">
            <v:imagedata r:id="rId11" o:title="" chromakey="white"/>
          </v:shape>
        </w:pict>
      </w:r>
    </w:p>
    <w:p w:rsidR="00771C87" w:rsidRPr="00801376" w:rsidRDefault="00771C87" w:rsidP="002D189D">
      <w:pPr>
        <w:spacing w:line="360" w:lineRule="auto"/>
        <w:ind w:firstLine="709"/>
        <w:jc w:val="both"/>
        <w:rPr>
          <w:szCs w:val="28"/>
        </w:rPr>
      </w:pPr>
      <w:r w:rsidRPr="00801376">
        <w:rPr>
          <w:szCs w:val="28"/>
        </w:rPr>
        <w:t xml:space="preserve">где </w:t>
      </w:r>
      <w:r w:rsidRPr="00374CF6">
        <w:rPr>
          <w:i/>
          <w:szCs w:val="28"/>
          <w:lang w:val="en-US"/>
        </w:rPr>
        <w:t>CD</w:t>
      </w:r>
      <w:r w:rsidRPr="00374CF6">
        <w:rPr>
          <w:i/>
          <w:szCs w:val="28"/>
          <w:vertAlign w:val="subscript"/>
          <w:lang w:val="en-US"/>
        </w:rPr>
        <w:t>Fp</w:t>
      </w:r>
      <w:r w:rsidRPr="00801376">
        <w:rPr>
          <w:szCs w:val="28"/>
        </w:rPr>
        <w:t xml:space="preserve"> </w:t>
      </w:r>
      <w:r>
        <w:rPr>
          <w:szCs w:val="28"/>
        </w:rPr>
        <w:t>–</w:t>
      </w:r>
      <w:r w:rsidRPr="00801376">
        <w:rPr>
          <w:szCs w:val="28"/>
        </w:rPr>
        <w:t xml:space="preserve"> номинальная ставка пошлины;</w:t>
      </w:r>
    </w:p>
    <w:p w:rsidR="00771C87" w:rsidRPr="00801376" w:rsidRDefault="00771C87" w:rsidP="002D189D">
      <w:pPr>
        <w:spacing w:line="360" w:lineRule="auto"/>
        <w:ind w:firstLine="709"/>
        <w:jc w:val="both"/>
        <w:rPr>
          <w:szCs w:val="28"/>
        </w:rPr>
      </w:pPr>
      <w:r w:rsidRPr="00374CF6">
        <w:rPr>
          <w:i/>
          <w:szCs w:val="28"/>
          <w:lang w:val="en-US"/>
        </w:rPr>
        <w:t>C</w:t>
      </w:r>
      <w:r>
        <w:rPr>
          <w:i/>
          <w:szCs w:val="28"/>
          <w:lang w:val="en-US"/>
        </w:rPr>
        <w:t>v</w:t>
      </w:r>
      <w:r w:rsidRPr="00801376">
        <w:rPr>
          <w:szCs w:val="28"/>
        </w:rPr>
        <w:t xml:space="preserve"> </w:t>
      </w:r>
      <w:r>
        <w:rPr>
          <w:szCs w:val="28"/>
        </w:rPr>
        <w:t>–</w:t>
      </w:r>
      <w:r w:rsidRPr="00801376">
        <w:rPr>
          <w:szCs w:val="28"/>
        </w:rPr>
        <w:t xml:space="preserve"> </w:t>
      </w:r>
      <w:r>
        <w:rPr>
          <w:szCs w:val="28"/>
        </w:rPr>
        <w:t>таможенная стоимость.</w:t>
      </w:r>
      <w:r w:rsidRPr="00801376">
        <w:rPr>
          <w:szCs w:val="28"/>
        </w:rPr>
        <w:t xml:space="preserve"> </w:t>
      </w:r>
    </w:p>
    <w:p w:rsidR="00771C87" w:rsidRDefault="00771C87" w:rsidP="002D189D">
      <w:pPr>
        <w:spacing w:after="0" w:line="360" w:lineRule="auto"/>
        <w:ind w:firstLine="709"/>
        <w:jc w:val="both"/>
      </w:pPr>
      <w:r>
        <w:t xml:space="preserve">Отсюда, изменение конкурентоспособности предприятия может быть оценено посредством интегрального показателя конкурентоспособности </w:t>
      </w:r>
      <w:r w:rsidRPr="00F4469F">
        <w:rPr>
          <w:i/>
        </w:rPr>
        <w:t>С</w:t>
      </w:r>
      <w:r>
        <w:t xml:space="preserve"> который должен рассчитываться с учетом разделения затрат учитываемых в измеряемых количественных характеристиках на две группы: затраты непосредственно подверженные влиянию тарифного регулирования и затраты на которые уровень тарифной защиты напрямую не влияет.</w:t>
      </w:r>
    </w:p>
    <w:p w:rsidR="00771C87" w:rsidRDefault="00771C87" w:rsidP="00C40423">
      <w:pPr>
        <w:spacing w:after="0" w:line="360" w:lineRule="auto"/>
        <w:ind w:firstLine="709"/>
        <w:jc w:val="both"/>
      </w:pPr>
      <w:r>
        <w:t>Используя распространенную формулу интегрального показателя конкурентоспособности:</w:t>
      </w:r>
    </w:p>
    <w:p w:rsidR="00771C87" w:rsidRPr="00542D65" w:rsidRDefault="00771C87" w:rsidP="00C40423">
      <w:pPr>
        <w:spacing w:after="0" w:line="360" w:lineRule="auto"/>
        <w:ind w:firstLine="709"/>
        <w:jc w:val="both"/>
      </w:pPr>
      <w:r>
        <w:pict>
          <v:shape id="_x0000_i1030" type="#_x0000_t75" style="width:70.8pt;height:31.8pt">
            <v:imagedata r:id="rId12" o:title="" chromakey="white"/>
          </v:shape>
        </w:pict>
      </w:r>
    </w:p>
    <w:p w:rsidR="00771C87" w:rsidRDefault="00771C87" w:rsidP="00D8218A">
      <w:pPr>
        <w:spacing w:after="0" w:line="360" w:lineRule="auto"/>
        <w:jc w:val="both"/>
      </w:pPr>
      <w:r>
        <w:t xml:space="preserve">где </w:t>
      </w:r>
      <w:r w:rsidRPr="00D8218A">
        <w:rPr>
          <w:i/>
          <w:lang w:val="en-US"/>
        </w:rPr>
        <w:t>d</w:t>
      </w:r>
      <w:r w:rsidRPr="00D8218A">
        <w:rPr>
          <w:i/>
          <w:vertAlign w:val="subscript"/>
          <w:lang w:val="en-US"/>
        </w:rPr>
        <w:t>i</w:t>
      </w:r>
      <w:r w:rsidRPr="00D8218A">
        <w:t xml:space="preserve"> – </w:t>
      </w:r>
      <w:r>
        <w:t xml:space="preserve">вес коэффициента значимости </w:t>
      </w:r>
      <w:r w:rsidRPr="00D8218A">
        <w:rPr>
          <w:i/>
          <w:lang w:val="en-US"/>
        </w:rPr>
        <w:t>i</w:t>
      </w:r>
      <w:r>
        <w:t>-го коэффициента конкурентоспособности.</w:t>
      </w:r>
    </w:p>
    <w:p w:rsidR="00771C87" w:rsidRDefault="00771C87" w:rsidP="00D8218A">
      <w:pPr>
        <w:spacing w:after="0" w:line="360" w:lineRule="auto"/>
        <w:ind w:firstLine="709"/>
        <w:jc w:val="both"/>
      </w:pPr>
      <w:r>
        <w:t>Далее формулу расчета конкурентоспособности по группе затрат, подверженных влиянию тарифного регулирования</w:t>
      </w:r>
      <w:r w:rsidRPr="005B1745">
        <w:t xml:space="preserve"> </w:t>
      </w:r>
      <w:r w:rsidRPr="005B1745">
        <w:rPr>
          <w:i/>
          <w:lang w:val="en-US"/>
        </w:rPr>
        <w:t>C</w:t>
      </w:r>
      <w:r w:rsidRPr="005B1745">
        <w:rPr>
          <w:i/>
          <w:vertAlign w:val="subscript"/>
          <w:lang w:val="en-US"/>
        </w:rPr>
        <w:t>sc</w:t>
      </w:r>
      <w:r>
        <w:t>, можно представить следующим образом:</w:t>
      </w:r>
    </w:p>
    <w:p w:rsidR="00771C87" w:rsidRPr="00D8218A" w:rsidRDefault="00771C87" w:rsidP="005B1745">
      <w:pPr>
        <w:spacing w:after="0" w:line="360" w:lineRule="auto"/>
        <w:ind w:firstLine="709"/>
        <w:jc w:val="both"/>
      </w:pPr>
      <w:r>
        <w:pict>
          <v:shape id="_x0000_i1031" type="#_x0000_t75" style="width:305.4pt;height:63pt">
            <v:imagedata r:id="rId13" o:title="" chromakey="white"/>
          </v:shape>
        </w:pict>
      </w:r>
    </w:p>
    <w:p w:rsidR="00771C87" w:rsidRPr="007650FD" w:rsidRDefault="00771C87" w:rsidP="00DD6B6C">
      <w:pPr>
        <w:spacing w:after="0" w:line="360" w:lineRule="auto"/>
        <w:ind w:firstLine="709"/>
        <w:jc w:val="both"/>
        <w:rPr>
          <w:szCs w:val="28"/>
        </w:rPr>
      </w:pPr>
      <w:r w:rsidRPr="00DD6B6C">
        <w:rPr>
          <w:szCs w:val="28"/>
        </w:rPr>
        <w:t>Изложенная ситуация в условиях незначительных макроэкономических и институциональных изменений в экономике РФ позволяет с уверенностью сделать вывод о практически полном отсутствии реальных изменений, способных стимулировать экономическое развитие страны и рост конкурентоспособности</w:t>
      </w:r>
      <w:r w:rsidRPr="00200540">
        <w:rPr>
          <w:szCs w:val="28"/>
        </w:rPr>
        <w:t xml:space="preserve"> российской промышленности. По-прежнему не решаются хронические проблемы в условиях, которых действуют отечественные товаропроизводители: прогрессирует монополизация в большинстве отраслей экономики, растут тарифы естественных монополий, ограничен доступ фирм к нормальным для мирового финансового рынка долгосрочным кредитам по низким процентным ставкам, по-прежнему держится на высоком уровне ставка рефинансирования Центрального банка.</w:t>
      </w:r>
    </w:p>
    <w:p w:rsidR="00771C87" w:rsidRPr="007764E1" w:rsidRDefault="00771C87" w:rsidP="00C4042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i/>
          <w:szCs w:val="28"/>
          <w:lang w:eastAsia="ru-RU"/>
        </w:rPr>
      </w:pPr>
    </w:p>
    <w:p w:rsidR="00771C87" w:rsidRPr="00D47D93" w:rsidRDefault="00771C87" w:rsidP="00C4042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b/>
          <w:sz w:val="24"/>
          <w:szCs w:val="28"/>
          <w:lang w:eastAsia="ru-RU"/>
        </w:rPr>
      </w:pPr>
      <w:r w:rsidRPr="00D47D93">
        <w:rPr>
          <w:b/>
          <w:sz w:val="24"/>
          <w:szCs w:val="28"/>
          <w:lang w:eastAsia="ru-RU"/>
        </w:rPr>
        <w:t>Список литературы</w:t>
      </w:r>
    </w:p>
    <w:p w:rsidR="00771C87" w:rsidRPr="00200540" w:rsidRDefault="00771C87" w:rsidP="00992D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200540">
        <w:rPr>
          <w:sz w:val="24"/>
          <w:szCs w:val="24"/>
          <w:lang w:eastAsia="ru-RU"/>
        </w:rPr>
        <w:t>Аганбегян А.Г. О преодолении финансово-экономического кризиса</w:t>
      </w:r>
      <w:r>
        <w:rPr>
          <w:sz w:val="24"/>
          <w:szCs w:val="24"/>
          <w:lang w:eastAsia="ru-RU"/>
        </w:rPr>
        <w:t xml:space="preserve"> </w:t>
      </w:r>
      <w:r w:rsidRPr="00200540">
        <w:rPr>
          <w:sz w:val="24"/>
          <w:szCs w:val="24"/>
          <w:lang w:eastAsia="ru-RU"/>
        </w:rPr>
        <w:t>/ А.Г. Аганбегян // Экономическая политика. – 2011. –  № 2. – С. 42.</w:t>
      </w:r>
    </w:p>
    <w:p w:rsidR="00771C87" w:rsidRPr="00200540" w:rsidRDefault="00771C87" w:rsidP="00992D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200540">
        <w:rPr>
          <w:sz w:val="24"/>
          <w:szCs w:val="24"/>
          <w:lang w:eastAsia="ru-RU"/>
        </w:rPr>
        <w:t xml:space="preserve">Таможенная служба Российской Федерации в 2012 году. Справочные материалы к заседанию коллегии ФТС России [Электронный ресурс]. Режим доступа: </w:t>
      </w:r>
      <w:r w:rsidRPr="00200540">
        <w:rPr>
          <w:sz w:val="24"/>
          <w:szCs w:val="24"/>
          <w:lang w:val="en-US" w:eastAsia="ru-RU"/>
        </w:rPr>
        <w:t>http</w:t>
      </w:r>
      <w:r w:rsidRPr="00200540">
        <w:rPr>
          <w:sz w:val="24"/>
          <w:szCs w:val="24"/>
          <w:lang w:eastAsia="ru-RU"/>
        </w:rPr>
        <w:t>://</w:t>
      </w:r>
      <w:r w:rsidRPr="00200540">
        <w:rPr>
          <w:sz w:val="24"/>
          <w:szCs w:val="24"/>
          <w:lang w:val="en-US" w:eastAsia="ru-RU"/>
        </w:rPr>
        <w:t>www</w:t>
      </w:r>
      <w:r w:rsidRPr="00200540">
        <w:rPr>
          <w:sz w:val="24"/>
          <w:szCs w:val="24"/>
          <w:lang w:eastAsia="ru-RU"/>
        </w:rPr>
        <w:t>.</w:t>
      </w:r>
      <w:r w:rsidRPr="00200540">
        <w:rPr>
          <w:sz w:val="24"/>
          <w:szCs w:val="24"/>
          <w:lang w:val="en-US" w:eastAsia="ru-RU"/>
        </w:rPr>
        <w:t>customs</w:t>
      </w:r>
      <w:r w:rsidRPr="00200540">
        <w:rPr>
          <w:sz w:val="24"/>
          <w:szCs w:val="24"/>
          <w:lang w:eastAsia="ru-RU"/>
        </w:rPr>
        <w:t>.</w:t>
      </w:r>
      <w:r w:rsidRPr="00200540">
        <w:rPr>
          <w:sz w:val="24"/>
          <w:szCs w:val="24"/>
          <w:lang w:val="en-US" w:eastAsia="ru-RU"/>
        </w:rPr>
        <w:t>ru</w:t>
      </w:r>
      <w:r w:rsidRPr="00200540">
        <w:rPr>
          <w:sz w:val="24"/>
          <w:szCs w:val="24"/>
          <w:lang w:eastAsia="ru-RU"/>
        </w:rPr>
        <w:t>/</w:t>
      </w:r>
      <w:r w:rsidRPr="00200540">
        <w:rPr>
          <w:sz w:val="24"/>
          <w:szCs w:val="24"/>
          <w:lang w:val="en-US" w:eastAsia="ru-RU"/>
        </w:rPr>
        <w:t>images</w:t>
      </w:r>
      <w:r w:rsidRPr="00200540">
        <w:rPr>
          <w:sz w:val="24"/>
          <w:szCs w:val="24"/>
          <w:lang w:eastAsia="ru-RU"/>
        </w:rPr>
        <w:t>/</w:t>
      </w:r>
      <w:r w:rsidRPr="00200540">
        <w:rPr>
          <w:sz w:val="24"/>
          <w:szCs w:val="24"/>
          <w:lang w:val="en-US" w:eastAsia="ru-RU"/>
        </w:rPr>
        <w:t>stories</w:t>
      </w:r>
      <w:r w:rsidRPr="00200540">
        <w:rPr>
          <w:sz w:val="24"/>
          <w:szCs w:val="24"/>
          <w:lang w:eastAsia="ru-RU"/>
        </w:rPr>
        <w:t>/</w:t>
      </w:r>
      <w:r w:rsidRPr="00200540">
        <w:rPr>
          <w:sz w:val="24"/>
          <w:szCs w:val="24"/>
          <w:lang w:val="en-US" w:eastAsia="ru-RU"/>
        </w:rPr>
        <w:t>Den</w:t>
      </w:r>
      <w:r w:rsidRPr="00200540">
        <w:rPr>
          <w:sz w:val="24"/>
          <w:szCs w:val="24"/>
          <w:lang w:eastAsia="ru-RU"/>
        </w:rPr>
        <w:t>/</w:t>
      </w:r>
      <w:r w:rsidRPr="00200540">
        <w:rPr>
          <w:sz w:val="24"/>
          <w:szCs w:val="24"/>
          <w:lang w:val="en-US" w:eastAsia="ru-RU"/>
        </w:rPr>
        <w:t>sbornik</w:t>
      </w:r>
      <w:r w:rsidRPr="00200540">
        <w:rPr>
          <w:sz w:val="24"/>
          <w:szCs w:val="24"/>
          <w:lang w:eastAsia="ru-RU"/>
        </w:rPr>
        <w:t>%202012.</w:t>
      </w:r>
      <w:r w:rsidRPr="00200540">
        <w:rPr>
          <w:sz w:val="24"/>
          <w:szCs w:val="24"/>
          <w:lang w:val="en-US" w:eastAsia="ru-RU"/>
        </w:rPr>
        <w:t>docx</w:t>
      </w:r>
      <w:r w:rsidRPr="00200540">
        <w:rPr>
          <w:sz w:val="24"/>
          <w:szCs w:val="24"/>
          <w:lang w:eastAsia="ru-RU"/>
        </w:rPr>
        <w:t>.</w:t>
      </w:r>
    </w:p>
    <w:p w:rsidR="00771C87" w:rsidRPr="00200540" w:rsidRDefault="00771C87" w:rsidP="00992D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200540">
        <w:rPr>
          <w:sz w:val="24"/>
          <w:szCs w:val="24"/>
          <w:lang w:eastAsia="ru-RU"/>
        </w:rPr>
        <w:t>Тищенко Т. Г</w:t>
      </w:r>
      <w:bookmarkStart w:id="0" w:name="_GoBack"/>
      <w:bookmarkEnd w:id="0"/>
      <w:r w:rsidRPr="00200540">
        <w:rPr>
          <w:sz w:val="24"/>
          <w:szCs w:val="24"/>
          <w:lang w:eastAsia="ru-RU"/>
        </w:rPr>
        <w:t>осударственный бюджет / Т. Тищенко // Экономическое развитие России. – 2013. – № 2.</w:t>
      </w:r>
    </w:p>
    <w:p w:rsidR="00771C87" w:rsidRPr="00200540" w:rsidRDefault="00771C87" w:rsidP="00992D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4"/>
          <w:szCs w:val="24"/>
          <w:lang w:val="en-US" w:eastAsia="ru-RU"/>
        </w:rPr>
      </w:pPr>
      <w:r w:rsidRPr="00200540">
        <w:rPr>
          <w:sz w:val="24"/>
          <w:szCs w:val="24"/>
          <w:lang w:eastAsia="ru-RU"/>
        </w:rPr>
        <w:t xml:space="preserve">Об итогах внешней торговли товарами государств-членов Таможенного союза в январе-декабре 2012 года [Электронный ресурс]. </w:t>
      </w:r>
      <w:r w:rsidRPr="00200540">
        <w:rPr>
          <w:sz w:val="24"/>
          <w:szCs w:val="24"/>
          <w:lang w:val="en-US" w:eastAsia="ru-RU"/>
        </w:rPr>
        <w:t>Режим доступа: http://www.tsouz.ru/db/stat/eCU201212/ Documents/STRUCTURE201212_1.pdf#view=FIT.</w:t>
      </w:r>
    </w:p>
    <w:p w:rsidR="00771C87" w:rsidRPr="00200540" w:rsidRDefault="00771C87" w:rsidP="00992D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4"/>
          <w:szCs w:val="24"/>
          <w:lang w:val="en-US" w:eastAsia="ru-RU"/>
        </w:rPr>
      </w:pPr>
      <w:r w:rsidRPr="00200540">
        <w:rPr>
          <w:sz w:val="24"/>
          <w:szCs w:val="24"/>
          <w:lang w:eastAsia="ru-RU"/>
        </w:rPr>
        <w:t xml:space="preserve">Об итогах внешней торговли товарами государств-членов Таможенного союза в январе-декабре 2012 года [Электронный ресурс]. </w:t>
      </w:r>
      <w:r w:rsidRPr="00200540">
        <w:rPr>
          <w:sz w:val="24"/>
          <w:szCs w:val="24"/>
          <w:lang w:val="en-US" w:eastAsia="ru-RU"/>
        </w:rPr>
        <w:t>Режим доступа: http://www.tsouz.ru/db/stat/Analitycs_trade/ Documents/Analytics_E_201212.pdf.</w:t>
      </w:r>
    </w:p>
    <w:p w:rsidR="00771C87" w:rsidRPr="00200540" w:rsidRDefault="00771C87" w:rsidP="00992D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4"/>
          <w:szCs w:val="24"/>
          <w:lang w:eastAsia="ru-RU"/>
        </w:rPr>
      </w:pPr>
      <w:r w:rsidRPr="00200540">
        <w:rPr>
          <w:sz w:val="24"/>
          <w:szCs w:val="24"/>
          <w:lang w:eastAsia="ru-RU"/>
        </w:rPr>
        <w:t>Сухарев, А.Н. Эволюция таможенного тарифа России и его влияние на развитие внешней торговли / А.Н. Сухарев // Вестник Тверского государственного университета. – Сер. «Право». – 2008. – № 30.</w:t>
      </w:r>
    </w:p>
    <w:p w:rsidR="00771C87" w:rsidRPr="001E783F" w:rsidRDefault="00771C87" w:rsidP="00992D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4"/>
          <w:szCs w:val="24"/>
          <w:lang w:val="en-US" w:eastAsia="ru-RU"/>
        </w:rPr>
      </w:pPr>
      <w:r w:rsidRPr="00200540">
        <w:rPr>
          <w:sz w:val="24"/>
          <w:szCs w:val="24"/>
          <w:lang w:eastAsia="ru-RU"/>
        </w:rPr>
        <w:t xml:space="preserve">Прогноз социально-экономического развития Российской Федерации на 2012 год и плановый период 2013-2014 годов [Электронный ресурс]. </w:t>
      </w:r>
      <w:r w:rsidRPr="00200540">
        <w:rPr>
          <w:sz w:val="24"/>
          <w:szCs w:val="24"/>
          <w:lang w:val="en-US" w:eastAsia="ru-RU"/>
        </w:rPr>
        <w:t xml:space="preserve">Режим доступа: </w:t>
      </w:r>
      <w:r w:rsidRPr="001E783F">
        <w:rPr>
          <w:sz w:val="24"/>
          <w:szCs w:val="24"/>
          <w:lang w:val="en-US" w:eastAsia="ru-RU"/>
        </w:rPr>
        <w:t>http://www.tsouz.ru/db/stat/Analitycs_trade/ Documents/Analytics_E_201212.pdf.</w:t>
      </w:r>
    </w:p>
    <w:p w:rsidR="00771C87" w:rsidRPr="001E783F" w:rsidRDefault="00771C87" w:rsidP="00407DE9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  <w:sz w:val="24"/>
          <w:szCs w:val="24"/>
          <w:lang w:eastAsia="ru-RU"/>
        </w:rPr>
      </w:pPr>
      <w:r w:rsidRPr="001E783F">
        <w:rPr>
          <w:sz w:val="24"/>
          <w:szCs w:val="24"/>
          <w:lang w:eastAsia="ru-RU"/>
        </w:rPr>
        <w:t>Количественный анализ и направления совершенствования импортного таможенного тарифа Беларуси [Текст] / В. В. Юрик, С. В. Насута // Белорусский экономический журнал. - 2008. - № 2. - С. 82-93.</w:t>
      </w:r>
    </w:p>
    <w:p w:rsidR="00771C87" w:rsidRPr="00A76D43" w:rsidRDefault="00771C87" w:rsidP="001E783F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  <w:sz w:val="24"/>
          <w:szCs w:val="24"/>
          <w:lang w:eastAsia="ru-RU"/>
        </w:rPr>
      </w:pPr>
      <w:r w:rsidRPr="001E783F">
        <w:rPr>
          <w:sz w:val="24"/>
          <w:szCs w:val="24"/>
          <w:lang w:eastAsia="ru-RU"/>
        </w:rPr>
        <w:t>Основные направления таможенно-тарифной политики на 2014</w:t>
      </w:r>
      <w:r>
        <w:rPr>
          <w:sz w:val="24"/>
          <w:szCs w:val="24"/>
          <w:lang w:eastAsia="ru-RU"/>
        </w:rPr>
        <w:t xml:space="preserve"> год и плановый период 2015 и 2016 годов </w:t>
      </w:r>
      <w:r w:rsidRPr="00200540">
        <w:rPr>
          <w:sz w:val="24"/>
          <w:szCs w:val="24"/>
          <w:lang w:eastAsia="ru-RU"/>
        </w:rPr>
        <w:t xml:space="preserve">[Электронный ресурс]. </w:t>
      </w:r>
      <w:r w:rsidRPr="001E783F">
        <w:rPr>
          <w:sz w:val="24"/>
          <w:szCs w:val="24"/>
          <w:lang w:eastAsia="ru-RU"/>
        </w:rPr>
        <w:t>Режим доступа:</w:t>
      </w:r>
      <w:r w:rsidRPr="001E783F">
        <w:t xml:space="preserve"> </w:t>
      </w:r>
      <w:r w:rsidRPr="00200540">
        <w:rPr>
          <w:sz w:val="24"/>
          <w:szCs w:val="24"/>
          <w:lang w:val="en-US" w:eastAsia="ru-RU"/>
        </w:rPr>
        <w:t>http</w:t>
      </w:r>
      <w:r w:rsidRPr="001E783F">
        <w:rPr>
          <w:sz w:val="24"/>
          <w:szCs w:val="24"/>
          <w:lang w:eastAsia="ru-RU"/>
        </w:rPr>
        <w:t>://</w:t>
      </w:r>
      <w:r w:rsidRPr="00200540">
        <w:rPr>
          <w:sz w:val="24"/>
          <w:szCs w:val="24"/>
          <w:lang w:val="en-US" w:eastAsia="ru-RU"/>
        </w:rPr>
        <w:t>www</w:t>
      </w:r>
      <w:r w:rsidRPr="001E783F">
        <w:rPr>
          <w:sz w:val="24"/>
          <w:szCs w:val="24"/>
          <w:lang w:eastAsia="ru-RU"/>
        </w:rPr>
        <w:t>.</w:t>
      </w:r>
      <w:r w:rsidRPr="001E783F">
        <w:rPr>
          <w:sz w:val="24"/>
          <w:szCs w:val="24"/>
          <w:lang w:val="en-US" w:eastAsia="ru-RU"/>
        </w:rPr>
        <w:t>government</w:t>
      </w:r>
      <w:r w:rsidRPr="001E783F">
        <w:rPr>
          <w:sz w:val="24"/>
          <w:szCs w:val="24"/>
          <w:lang w:eastAsia="ru-RU"/>
        </w:rPr>
        <w:t>.</w:t>
      </w:r>
      <w:r w:rsidRPr="001E783F">
        <w:rPr>
          <w:sz w:val="24"/>
          <w:szCs w:val="24"/>
          <w:lang w:val="en-US" w:eastAsia="ru-RU"/>
        </w:rPr>
        <w:t>ru</w:t>
      </w:r>
      <w:r w:rsidRPr="001E783F">
        <w:rPr>
          <w:sz w:val="24"/>
          <w:szCs w:val="24"/>
          <w:lang w:eastAsia="ru-RU"/>
        </w:rPr>
        <w:t>/</w:t>
      </w:r>
      <w:r w:rsidRPr="001E783F">
        <w:rPr>
          <w:sz w:val="24"/>
          <w:szCs w:val="24"/>
          <w:lang w:val="en-US" w:eastAsia="ru-RU"/>
        </w:rPr>
        <w:t>media</w:t>
      </w:r>
      <w:r w:rsidRPr="001E783F">
        <w:rPr>
          <w:sz w:val="24"/>
          <w:szCs w:val="24"/>
          <w:lang w:eastAsia="ru-RU"/>
        </w:rPr>
        <w:t>/</w:t>
      </w:r>
      <w:r w:rsidRPr="001E783F">
        <w:rPr>
          <w:sz w:val="24"/>
          <w:szCs w:val="24"/>
          <w:lang w:val="en-US" w:eastAsia="ru-RU"/>
        </w:rPr>
        <w:t>files</w:t>
      </w:r>
      <w:r w:rsidRPr="001E783F">
        <w:rPr>
          <w:sz w:val="24"/>
          <w:szCs w:val="24"/>
          <w:lang w:eastAsia="ru-RU"/>
        </w:rPr>
        <w:t>/41</w:t>
      </w:r>
      <w:r w:rsidRPr="001E783F">
        <w:rPr>
          <w:sz w:val="24"/>
          <w:szCs w:val="24"/>
          <w:lang w:val="en-US" w:eastAsia="ru-RU"/>
        </w:rPr>
        <w:t>d</w:t>
      </w:r>
      <w:r w:rsidRPr="001E783F">
        <w:rPr>
          <w:sz w:val="24"/>
          <w:szCs w:val="24"/>
          <w:lang w:eastAsia="ru-RU"/>
        </w:rPr>
        <w:t>4696</w:t>
      </w:r>
      <w:r w:rsidRPr="001E783F">
        <w:rPr>
          <w:sz w:val="24"/>
          <w:szCs w:val="24"/>
          <w:lang w:val="en-US" w:eastAsia="ru-RU"/>
        </w:rPr>
        <w:t>fa</w:t>
      </w:r>
      <w:r w:rsidRPr="001E783F">
        <w:rPr>
          <w:sz w:val="24"/>
          <w:szCs w:val="24"/>
          <w:lang w:eastAsia="ru-RU"/>
        </w:rPr>
        <w:t>3</w:t>
      </w:r>
      <w:r w:rsidRPr="001E783F">
        <w:rPr>
          <w:sz w:val="24"/>
          <w:szCs w:val="24"/>
          <w:lang w:val="en-US" w:eastAsia="ru-RU"/>
        </w:rPr>
        <w:t>e</w:t>
      </w:r>
      <w:r w:rsidRPr="001E783F">
        <w:rPr>
          <w:sz w:val="24"/>
          <w:szCs w:val="24"/>
          <w:lang w:eastAsia="ru-RU"/>
        </w:rPr>
        <w:t>0</w:t>
      </w:r>
      <w:r w:rsidRPr="001E783F">
        <w:rPr>
          <w:sz w:val="24"/>
          <w:szCs w:val="24"/>
          <w:lang w:val="en-US" w:eastAsia="ru-RU"/>
        </w:rPr>
        <w:t>ca</w:t>
      </w:r>
      <w:r w:rsidRPr="001E783F">
        <w:rPr>
          <w:sz w:val="24"/>
          <w:szCs w:val="24"/>
          <w:lang w:eastAsia="ru-RU"/>
        </w:rPr>
        <w:t>103444.</w:t>
      </w:r>
      <w:r w:rsidRPr="001E783F">
        <w:rPr>
          <w:sz w:val="24"/>
          <w:szCs w:val="24"/>
          <w:lang w:val="en-US" w:eastAsia="ru-RU"/>
        </w:rPr>
        <w:t>pdf</w:t>
      </w:r>
      <w:r w:rsidRPr="001E783F">
        <w:rPr>
          <w:sz w:val="24"/>
          <w:szCs w:val="24"/>
          <w:lang w:eastAsia="ru-RU" w:bidi="he-IL"/>
        </w:rPr>
        <w:t>‎.</w:t>
      </w:r>
    </w:p>
    <w:p w:rsidR="00771C87" w:rsidRPr="00907929" w:rsidRDefault="00771C87" w:rsidP="00E12900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</w:t>
      </w:r>
      <w:r w:rsidRPr="00E12900">
        <w:rPr>
          <w:bCs/>
          <w:sz w:val="24"/>
          <w:szCs w:val="24"/>
          <w:lang w:eastAsia="ru-RU"/>
        </w:rPr>
        <w:t xml:space="preserve">Пояснения к таблицам (экспорт/импорт России важнейших товаров за январь-декабрь 2012 г.) </w:t>
      </w:r>
      <w:r w:rsidRPr="00200540">
        <w:rPr>
          <w:sz w:val="24"/>
          <w:szCs w:val="24"/>
          <w:lang w:eastAsia="ru-RU"/>
        </w:rPr>
        <w:t xml:space="preserve">[Электронный ресурс]. </w:t>
      </w:r>
      <w:r w:rsidRPr="001E783F">
        <w:rPr>
          <w:sz w:val="24"/>
          <w:szCs w:val="24"/>
          <w:lang w:eastAsia="ru-RU"/>
        </w:rPr>
        <w:t>Режим доступа:</w:t>
      </w:r>
      <w:r w:rsidRPr="001E783F">
        <w:t xml:space="preserve"> </w:t>
      </w:r>
      <w:hyperlink r:id="rId14" w:history="1">
        <w:r w:rsidRPr="0042770C">
          <w:rPr>
            <w:rStyle w:val="Hyperlink"/>
            <w:sz w:val="24"/>
            <w:szCs w:val="24"/>
            <w:lang w:val="en-US" w:eastAsia="ru-RU"/>
          </w:rPr>
          <w:t>http</w:t>
        </w:r>
        <w:r w:rsidRPr="0042770C">
          <w:rPr>
            <w:rStyle w:val="Hyperlink"/>
            <w:sz w:val="24"/>
            <w:szCs w:val="24"/>
            <w:lang w:eastAsia="ru-RU"/>
          </w:rPr>
          <w:t>://</w:t>
        </w:r>
        <w:r w:rsidRPr="0042770C">
          <w:rPr>
            <w:rStyle w:val="Hyperlink"/>
            <w:sz w:val="24"/>
            <w:szCs w:val="24"/>
            <w:lang w:val="en-US" w:eastAsia="ru-RU"/>
          </w:rPr>
          <w:t>www</w:t>
        </w:r>
        <w:r w:rsidRPr="0042770C">
          <w:rPr>
            <w:rStyle w:val="Hyperlink"/>
            <w:sz w:val="24"/>
            <w:szCs w:val="24"/>
            <w:lang w:eastAsia="ru-RU"/>
          </w:rPr>
          <w:t>.</w:t>
        </w:r>
        <w:r w:rsidRPr="0042770C">
          <w:rPr>
            <w:rStyle w:val="Hyperlink"/>
            <w:sz w:val="24"/>
            <w:szCs w:val="24"/>
            <w:lang w:val="en-US" w:eastAsia="ru-RU"/>
          </w:rPr>
          <w:t>customs</w:t>
        </w:r>
        <w:r w:rsidRPr="0042770C">
          <w:rPr>
            <w:rStyle w:val="Hyperlink"/>
            <w:sz w:val="24"/>
            <w:szCs w:val="24"/>
            <w:lang w:eastAsia="ru-RU"/>
          </w:rPr>
          <w:t>.</w:t>
        </w:r>
        <w:r w:rsidRPr="0042770C">
          <w:rPr>
            <w:rStyle w:val="Hyperlink"/>
            <w:sz w:val="24"/>
            <w:szCs w:val="24"/>
            <w:lang w:val="en-US" w:eastAsia="ru-RU"/>
          </w:rPr>
          <w:t>ru</w:t>
        </w:r>
        <w:r w:rsidRPr="0042770C">
          <w:rPr>
            <w:rStyle w:val="Hyperlink"/>
            <w:sz w:val="24"/>
            <w:szCs w:val="24"/>
            <w:lang w:eastAsia="ru-RU"/>
          </w:rPr>
          <w:t>/</w:t>
        </w:r>
        <w:r w:rsidRPr="0042770C">
          <w:rPr>
            <w:rStyle w:val="Hyperlink"/>
            <w:sz w:val="24"/>
            <w:szCs w:val="24"/>
            <w:lang w:val="en-US" w:eastAsia="ru-RU"/>
          </w:rPr>
          <w:t>attachments</w:t>
        </w:r>
        <w:r w:rsidRPr="0042770C">
          <w:rPr>
            <w:rStyle w:val="Hyperlink"/>
            <w:sz w:val="24"/>
            <w:szCs w:val="24"/>
            <w:lang w:eastAsia="ru-RU"/>
          </w:rPr>
          <w:t>/</w:t>
        </w:r>
        <w:r w:rsidRPr="0042770C">
          <w:rPr>
            <w:rStyle w:val="Hyperlink"/>
            <w:sz w:val="24"/>
            <w:szCs w:val="24"/>
            <w:lang w:val="en-US" w:eastAsia="ru-RU"/>
          </w:rPr>
          <w:t>article</w:t>
        </w:r>
        <w:r w:rsidRPr="0042770C">
          <w:rPr>
            <w:rStyle w:val="Hyperlink"/>
            <w:sz w:val="24"/>
            <w:szCs w:val="24"/>
            <w:lang w:eastAsia="ru-RU"/>
          </w:rPr>
          <w:t>/17090/</w:t>
        </w:r>
        <w:r w:rsidRPr="0042770C">
          <w:rPr>
            <w:rStyle w:val="Hyperlink"/>
            <w:sz w:val="24"/>
            <w:szCs w:val="24"/>
            <w:lang w:val="en-US" w:eastAsia="ru-RU"/>
          </w:rPr>
          <w:t>WEB</w:t>
        </w:r>
        <w:r w:rsidRPr="0042770C">
          <w:rPr>
            <w:rStyle w:val="Hyperlink"/>
            <w:sz w:val="24"/>
            <w:szCs w:val="24"/>
            <w:lang w:eastAsia="ru-RU"/>
          </w:rPr>
          <w:t>_</w:t>
        </w:r>
        <w:r w:rsidRPr="0042770C">
          <w:rPr>
            <w:rStyle w:val="Hyperlink"/>
            <w:sz w:val="24"/>
            <w:szCs w:val="24"/>
            <w:lang w:val="en-US" w:eastAsia="ru-RU"/>
          </w:rPr>
          <w:t>UTSA</w:t>
        </w:r>
        <w:r w:rsidRPr="0042770C">
          <w:rPr>
            <w:rStyle w:val="Hyperlink"/>
            <w:sz w:val="24"/>
            <w:szCs w:val="24"/>
            <w:lang w:eastAsia="ru-RU"/>
          </w:rPr>
          <w:t>_03.</w:t>
        </w:r>
        <w:r w:rsidRPr="0042770C">
          <w:rPr>
            <w:rStyle w:val="Hyperlink"/>
            <w:sz w:val="24"/>
            <w:szCs w:val="24"/>
            <w:lang w:val="en-US" w:eastAsia="ru-RU"/>
          </w:rPr>
          <w:t>doc</w:t>
        </w:r>
      </w:hyperlink>
      <w:r>
        <w:rPr>
          <w:sz w:val="24"/>
          <w:szCs w:val="24"/>
          <w:lang w:eastAsia="ru-RU"/>
        </w:rPr>
        <w:t>.</w:t>
      </w:r>
    </w:p>
    <w:p w:rsidR="00771C87" w:rsidRPr="001E783F" w:rsidRDefault="00771C87" w:rsidP="00E12900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  <w:sz w:val="24"/>
          <w:szCs w:val="24"/>
          <w:lang w:eastAsia="ru-RU"/>
        </w:rPr>
      </w:pPr>
      <w:r>
        <w:rPr>
          <w:sz w:val="24"/>
          <w:szCs w:val="24"/>
        </w:rPr>
        <w:t>Мищенко</w:t>
      </w:r>
      <w:r w:rsidRPr="000A6C4C">
        <w:rPr>
          <w:sz w:val="24"/>
          <w:szCs w:val="24"/>
        </w:rPr>
        <w:t> </w:t>
      </w:r>
      <w:r>
        <w:rPr>
          <w:sz w:val="24"/>
          <w:szCs w:val="24"/>
        </w:rPr>
        <w:t>Л</w:t>
      </w:r>
      <w:r w:rsidRPr="000A6C4C">
        <w:rPr>
          <w:sz w:val="24"/>
          <w:szCs w:val="24"/>
        </w:rPr>
        <w:t>.</w:t>
      </w:r>
      <w:r>
        <w:rPr>
          <w:sz w:val="24"/>
          <w:szCs w:val="24"/>
        </w:rPr>
        <w:t>Я</w:t>
      </w:r>
      <w:r w:rsidRPr="000A6C4C">
        <w:rPr>
          <w:sz w:val="24"/>
          <w:szCs w:val="24"/>
        </w:rPr>
        <w:t>. </w:t>
      </w:r>
      <w:r>
        <w:rPr>
          <w:sz w:val="24"/>
          <w:szCs w:val="24"/>
        </w:rPr>
        <w:t>Оценка конкурентоспособности национальной экономики: теоретические и методологические аспекты</w:t>
      </w:r>
      <w:r w:rsidRPr="000A6C4C">
        <w:rPr>
          <w:sz w:val="24"/>
          <w:szCs w:val="24"/>
        </w:rPr>
        <w:t xml:space="preserve"> /  </w:t>
      </w:r>
      <w:r>
        <w:rPr>
          <w:sz w:val="24"/>
          <w:szCs w:val="24"/>
        </w:rPr>
        <w:t>Л</w:t>
      </w:r>
      <w:r w:rsidRPr="000A6C4C">
        <w:rPr>
          <w:sz w:val="24"/>
          <w:szCs w:val="24"/>
        </w:rPr>
        <w:t>.</w:t>
      </w:r>
      <w:r>
        <w:rPr>
          <w:sz w:val="24"/>
          <w:szCs w:val="24"/>
        </w:rPr>
        <w:t>Я</w:t>
      </w:r>
      <w:r w:rsidRPr="000A6C4C">
        <w:rPr>
          <w:sz w:val="24"/>
          <w:szCs w:val="24"/>
        </w:rPr>
        <w:t>. </w:t>
      </w:r>
      <w:r>
        <w:rPr>
          <w:sz w:val="24"/>
          <w:szCs w:val="24"/>
        </w:rPr>
        <w:t>Мищенко</w:t>
      </w:r>
      <w:r w:rsidRPr="000A6C4C">
        <w:rPr>
          <w:sz w:val="24"/>
          <w:szCs w:val="24"/>
        </w:rPr>
        <w:t xml:space="preserve">, </w:t>
      </w:r>
      <w:r>
        <w:rPr>
          <w:sz w:val="24"/>
          <w:szCs w:val="24"/>
        </w:rPr>
        <w:t>А</w:t>
      </w:r>
      <w:r w:rsidRPr="000A6C4C">
        <w:rPr>
          <w:sz w:val="24"/>
          <w:szCs w:val="24"/>
        </w:rPr>
        <w:t>.</w:t>
      </w:r>
      <w:r>
        <w:rPr>
          <w:sz w:val="24"/>
          <w:szCs w:val="24"/>
        </w:rPr>
        <w:t>И</w:t>
      </w:r>
      <w:r w:rsidRPr="000A6C4C">
        <w:rPr>
          <w:sz w:val="24"/>
          <w:szCs w:val="24"/>
        </w:rPr>
        <w:t>. </w:t>
      </w:r>
      <w:r>
        <w:rPr>
          <w:sz w:val="24"/>
          <w:szCs w:val="24"/>
        </w:rPr>
        <w:t>Хомутова</w:t>
      </w:r>
      <w:r w:rsidRPr="000A6C4C">
        <w:rPr>
          <w:sz w:val="24"/>
          <w:szCs w:val="24"/>
        </w:rPr>
        <w:t xml:space="preserve">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2011. – №10(074). С. 710 – 718. – Шифр Информрегистра: 0421100012\0441, IDA [article ID]: 0741110063. – Режим доступа: http://ej.kubagro.ru/2011/10/pdf/63.pdf</w:t>
      </w:r>
    </w:p>
    <w:p w:rsidR="00771C87" w:rsidRPr="001E783F" w:rsidRDefault="00771C87" w:rsidP="00C4042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highlight w:val="red"/>
          <w:lang w:eastAsia="ru-RU"/>
        </w:rPr>
      </w:pPr>
    </w:p>
    <w:p w:rsidR="00771C87" w:rsidRPr="00681FBB" w:rsidRDefault="00771C87" w:rsidP="00C40423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  <w:lang w:val="en-US" w:eastAsia="ru-RU"/>
        </w:rPr>
      </w:pPr>
      <w:r w:rsidRPr="00681FBB">
        <w:rPr>
          <w:b/>
          <w:sz w:val="24"/>
          <w:szCs w:val="24"/>
          <w:lang w:val="en-US" w:eastAsia="ru-RU"/>
        </w:rPr>
        <w:t>References</w:t>
      </w:r>
    </w:p>
    <w:p w:rsidR="00771C87" w:rsidRPr="00AD46B0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1.</w:t>
      </w:r>
      <w:r w:rsidRPr="00AD46B0">
        <w:rPr>
          <w:sz w:val="24"/>
          <w:szCs w:val="24"/>
          <w:lang w:val="en-US" w:eastAsia="ru-RU"/>
        </w:rPr>
        <w:tab/>
        <w:t>Aganbegyan A.G. O preodolenii finansovo-ekonomicheskogo krizisa/ A.G. Aganbegyan // Ekonomicheskaya politika. – 2011. –  № 2. – S. 42.</w:t>
      </w:r>
    </w:p>
    <w:p w:rsidR="00771C87" w:rsidRPr="00AD46B0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2.</w:t>
      </w:r>
      <w:r w:rsidRPr="00AD46B0">
        <w:rPr>
          <w:sz w:val="24"/>
          <w:szCs w:val="24"/>
          <w:lang w:val="en-US" w:eastAsia="ru-RU"/>
        </w:rPr>
        <w:tab/>
        <w:t>Tamozhennaya sluzhba Rossiyskoy Federacii v 2012 godu. Spravochnye materialy k zasedaniyu kollegii FTS Rossii [Elektronniy resurs]. Rezhim dostupa: http://www.customs.ru/images/stories/Den/sbornik%202012.docx.</w:t>
      </w:r>
    </w:p>
    <w:p w:rsidR="00771C87" w:rsidRPr="00AD46B0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3.</w:t>
      </w:r>
      <w:r w:rsidRPr="00AD46B0">
        <w:rPr>
          <w:sz w:val="24"/>
          <w:szCs w:val="24"/>
          <w:lang w:val="en-US" w:eastAsia="ru-RU"/>
        </w:rPr>
        <w:tab/>
        <w:t>Tischenko T. Gosudarstvenniy budzhet / T. Tischenko // Ekonomicheskoe razvitie Rossii. – 2013. – № 2.</w:t>
      </w:r>
    </w:p>
    <w:p w:rsidR="00771C87" w:rsidRPr="00AD46B0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4.</w:t>
      </w:r>
      <w:r w:rsidRPr="00AD46B0">
        <w:rPr>
          <w:sz w:val="24"/>
          <w:szCs w:val="24"/>
          <w:lang w:val="en-US" w:eastAsia="ru-RU"/>
        </w:rPr>
        <w:tab/>
        <w:t>Ob itogah vneshney torgovli tovarami gosudarstv-chlenov Tamozhennogo soyuza v yanvare-dekabre 2012 goda [Elektronniy resurs]. Rezhim dostupa: http://www.tsouz.ru/db/stat/eCU201212/ Documents/STRUCTURE201212_1.pdf#view=FIT.</w:t>
      </w:r>
    </w:p>
    <w:p w:rsidR="00771C87" w:rsidRPr="00AD46B0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5.</w:t>
      </w:r>
      <w:r w:rsidRPr="00AD46B0">
        <w:rPr>
          <w:sz w:val="24"/>
          <w:szCs w:val="24"/>
          <w:lang w:val="en-US" w:eastAsia="ru-RU"/>
        </w:rPr>
        <w:tab/>
        <w:t>Ob itogah vneshney torgovli tovarami gosudarstv-chlenov Tamozhennogo soyuza v yanvare-dekabre 2012 goda [Elektronniy resurs]. Rezhim dostupa: http://www.tsouz.ru/db/stat/Analitycs_trade/ Documents/Analytics_E_201212.pdf.</w:t>
      </w:r>
    </w:p>
    <w:p w:rsidR="00771C87" w:rsidRPr="00AD46B0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6.</w:t>
      </w:r>
      <w:r w:rsidRPr="00AD46B0">
        <w:rPr>
          <w:sz w:val="24"/>
          <w:szCs w:val="24"/>
          <w:lang w:val="en-US" w:eastAsia="ru-RU"/>
        </w:rPr>
        <w:tab/>
        <w:t>Suharev, A.N. Evoluciya tamozhennogo tarifa Rossii i ego vliyanie na razvitie vneshney torgovli / A.N. Suharev // Vestnik Tverskogo gosudarstvennogo universiteta. – Ser. «Pravo». – 2008. – № 30.</w:t>
      </w:r>
    </w:p>
    <w:p w:rsidR="00771C87" w:rsidRPr="00AD46B0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7.</w:t>
      </w:r>
      <w:r w:rsidRPr="00AD46B0">
        <w:rPr>
          <w:sz w:val="24"/>
          <w:szCs w:val="24"/>
          <w:lang w:val="en-US" w:eastAsia="ru-RU"/>
        </w:rPr>
        <w:tab/>
        <w:t>Prognoz social'no-ekonomicheskogo razvitiya Rossiyskoy Federacii na 2012 god i planoviy period 2013-2014 godov [Elektronniy resurs]. Rezhim dostupa: http://www.tsouz.ru/db/stat/Analitycs_trade/ Documents/Analytics_E_201212.pdf.</w:t>
      </w:r>
    </w:p>
    <w:p w:rsidR="00771C87" w:rsidRPr="00AD46B0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8.</w:t>
      </w:r>
      <w:r w:rsidRPr="00AD46B0">
        <w:rPr>
          <w:sz w:val="24"/>
          <w:szCs w:val="24"/>
          <w:lang w:val="en-US" w:eastAsia="ru-RU"/>
        </w:rPr>
        <w:tab/>
        <w:t>Kolichestvenniy analiz i napravleniya sovershenstvovaniya importnogo tamozhennogo tarifa Belarusi [Tekst] / V. V. Yurik, S. V. Nasuta // Belorusskiy ekonomicheskiy zhurnal. - 2008. - № 2. - S. 82-93.</w:t>
      </w:r>
    </w:p>
    <w:p w:rsidR="00771C87" w:rsidRPr="00AD46B0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9.</w:t>
      </w:r>
      <w:r w:rsidRPr="00AD46B0">
        <w:rPr>
          <w:sz w:val="24"/>
          <w:szCs w:val="24"/>
          <w:lang w:val="en-US" w:eastAsia="ru-RU"/>
        </w:rPr>
        <w:tab/>
        <w:t>Osnovnye napravleniya tamozhenno-tarifnoy politiki na 2014 god i planoviy period 2015 i 2016 godov [Elektronniy resurs]. Rezhim dostupa: http://www.government.ru/media/files/41d4696fa3e0ca103444.pdf&amp;#8206;.</w:t>
      </w:r>
    </w:p>
    <w:p w:rsidR="00771C87" w:rsidRPr="00AD46B0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10.</w:t>
      </w:r>
      <w:r w:rsidRPr="00AD46B0">
        <w:rPr>
          <w:sz w:val="24"/>
          <w:szCs w:val="24"/>
          <w:lang w:val="en-US" w:eastAsia="ru-RU"/>
        </w:rPr>
        <w:tab/>
        <w:t xml:space="preserve"> Poyasneniya k tablitsam (eksport/import Rossii vazhneishih tovarov za yanvar'-dekabr' 2012 g.) [Elektronniy resurs]. Rezhim dostupa: http://www.customs.ru/attachments/article/17090/WEB_UTSA_03.doc.</w:t>
      </w:r>
    </w:p>
    <w:p w:rsidR="00771C87" w:rsidRPr="00323DFB" w:rsidRDefault="00771C87" w:rsidP="00AD46B0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en-US" w:eastAsia="ru-RU"/>
        </w:rPr>
      </w:pPr>
      <w:r w:rsidRPr="00AD46B0">
        <w:rPr>
          <w:sz w:val="24"/>
          <w:szCs w:val="24"/>
          <w:lang w:val="en-US" w:eastAsia="ru-RU"/>
        </w:rPr>
        <w:t>11.</w:t>
      </w:r>
      <w:r w:rsidRPr="00AD46B0">
        <w:rPr>
          <w:sz w:val="24"/>
          <w:szCs w:val="24"/>
          <w:lang w:val="en-US" w:eastAsia="ru-RU"/>
        </w:rPr>
        <w:tab/>
        <w:t>Mischenko L.Ya. Ocenka konkurentosposobnosti nacional'noy ekonomiki: teoreticheskie i metodologicheskie aspekty / L.Ya. Mischenko, A.I. Homutova // Politematicheskiy setevoy elektronniy nauchniy zhurnal Kubanskogo gosudarstvennogo agrarnogo universiteta (Nauchniy zhurnal KubGAU) [Elektronniy resurs]. – Krasnodar: KubGAU, 20</w:t>
      </w:r>
      <w:r w:rsidRPr="00323DFB">
        <w:rPr>
          <w:sz w:val="24"/>
          <w:szCs w:val="24"/>
          <w:lang w:val="en-US" w:eastAsia="ru-RU"/>
        </w:rPr>
        <w:t>06</w:t>
      </w:r>
      <w:r w:rsidRPr="00AD46B0">
        <w:rPr>
          <w:sz w:val="24"/>
          <w:szCs w:val="24"/>
          <w:lang w:val="en-US" w:eastAsia="ru-RU"/>
        </w:rPr>
        <w:t>. – №</w:t>
      </w:r>
      <w:r w:rsidRPr="00323DFB">
        <w:rPr>
          <w:sz w:val="24"/>
          <w:szCs w:val="24"/>
          <w:lang w:val="en-US" w:eastAsia="ru-RU"/>
        </w:rPr>
        <w:t>2</w:t>
      </w:r>
      <w:r w:rsidRPr="00AD46B0">
        <w:rPr>
          <w:sz w:val="24"/>
          <w:szCs w:val="24"/>
          <w:lang w:val="en-US" w:eastAsia="ru-RU"/>
        </w:rPr>
        <w:t>0</w:t>
      </w:r>
      <w:r>
        <w:rPr>
          <w:sz w:val="24"/>
          <w:szCs w:val="24"/>
          <w:lang w:val="en-US" w:eastAsia="ru-RU"/>
        </w:rPr>
        <w:t xml:space="preserve"> </w:t>
      </w:r>
      <w:r w:rsidRPr="00AD46B0">
        <w:rPr>
          <w:sz w:val="24"/>
          <w:szCs w:val="24"/>
          <w:lang w:val="en-US" w:eastAsia="ru-RU"/>
        </w:rPr>
        <w:t xml:space="preserve">(04). S. 710 – 718. – Shifr Informregistra: </w:t>
      </w:r>
      <w:r w:rsidRPr="00323DFB">
        <w:rPr>
          <w:sz w:val="24"/>
          <w:szCs w:val="24"/>
          <w:lang w:val="en-US" w:eastAsia="ru-RU"/>
        </w:rPr>
        <w:t>0420600012\0074</w:t>
      </w:r>
      <w:r w:rsidRPr="00AD46B0">
        <w:rPr>
          <w:sz w:val="24"/>
          <w:szCs w:val="24"/>
          <w:lang w:val="en-US" w:eastAsia="ru-RU"/>
        </w:rPr>
        <w:t xml:space="preserve">, IDA [article ID]: </w:t>
      </w:r>
      <w:r w:rsidRPr="00323DFB">
        <w:rPr>
          <w:sz w:val="24"/>
          <w:szCs w:val="24"/>
          <w:lang w:val="en-US" w:eastAsia="ru-RU"/>
        </w:rPr>
        <w:t>0200604002</w:t>
      </w:r>
      <w:r w:rsidRPr="00AD46B0">
        <w:rPr>
          <w:sz w:val="24"/>
          <w:szCs w:val="24"/>
          <w:lang w:val="en-US" w:eastAsia="ru-RU"/>
        </w:rPr>
        <w:t xml:space="preserve">. – Rezhim dostupa: </w:t>
      </w:r>
      <w:r w:rsidRPr="00323DFB">
        <w:rPr>
          <w:sz w:val="24"/>
          <w:szCs w:val="24"/>
          <w:lang w:val="en-US" w:eastAsia="ru-RU"/>
        </w:rPr>
        <w:t>http://ej.kubagro.ru/2006/04/pdf/02.pdf.</w:t>
      </w:r>
    </w:p>
    <w:sectPr w:rsidR="00771C87" w:rsidRPr="00323DFB" w:rsidSect="00E0183B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C87" w:rsidRDefault="00771C87" w:rsidP="00E0183B">
      <w:pPr>
        <w:spacing w:after="0" w:line="240" w:lineRule="auto"/>
      </w:pPr>
      <w:r>
        <w:separator/>
      </w:r>
    </w:p>
  </w:endnote>
  <w:endnote w:type="continuationSeparator" w:id="1">
    <w:p w:rsidR="00771C87" w:rsidRDefault="00771C87" w:rsidP="00E0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C87" w:rsidRPr="0085506B" w:rsidRDefault="00771C87">
    <w:pPr>
      <w:pStyle w:val="Footer"/>
      <w:rPr>
        <w:sz w:val="24"/>
        <w:szCs w:val="24"/>
      </w:rPr>
    </w:pPr>
    <w:r w:rsidRPr="0085506B">
      <w:rPr>
        <w:sz w:val="24"/>
        <w:szCs w:val="24"/>
      </w:rPr>
      <w:t>http://ej.kubagro.ru/2013/10/pdf/</w:t>
    </w:r>
    <w:r w:rsidRPr="0085506B">
      <w:rPr>
        <w:sz w:val="24"/>
        <w:szCs w:val="24"/>
        <w:lang w:val="en-US"/>
      </w:rPr>
      <w:t>55</w:t>
    </w:r>
    <w:r w:rsidRPr="0085506B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C87" w:rsidRDefault="00771C87" w:rsidP="00E0183B">
      <w:pPr>
        <w:spacing w:after="0" w:line="240" w:lineRule="auto"/>
      </w:pPr>
      <w:r>
        <w:separator/>
      </w:r>
    </w:p>
  </w:footnote>
  <w:footnote w:type="continuationSeparator" w:id="1">
    <w:p w:rsidR="00771C87" w:rsidRDefault="00771C87" w:rsidP="00E01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C87" w:rsidRDefault="00771C87" w:rsidP="007309D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1C87" w:rsidRDefault="00771C87" w:rsidP="0085506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C87" w:rsidRDefault="00771C87" w:rsidP="007309D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>
      <w:rPr>
        <w:rStyle w:val="PageNumber"/>
      </w:rPr>
      <w:fldChar w:fldCharType="end"/>
    </w:r>
  </w:p>
  <w:p w:rsidR="00771C87" w:rsidRPr="0085506B" w:rsidRDefault="00771C87" w:rsidP="0085506B">
    <w:pPr>
      <w:pStyle w:val="Header"/>
      <w:ind w:right="360"/>
    </w:pPr>
    <w:r w:rsidRPr="000054AB">
      <w:rPr>
        <w:sz w:val="24"/>
        <w:szCs w:val="24"/>
      </w:rPr>
      <w:t>Научный журнал КубГАУ, №94(10),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37CE3"/>
    <w:multiLevelType w:val="hybridMultilevel"/>
    <w:tmpl w:val="5D3C39C4"/>
    <w:lvl w:ilvl="0" w:tplc="6B5C3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25A"/>
    <w:rsid w:val="000054AB"/>
    <w:rsid w:val="00014ECC"/>
    <w:rsid w:val="00016D66"/>
    <w:rsid w:val="0003096C"/>
    <w:rsid w:val="00031D3F"/>
    <w:rsid w:val="00032241"/>
    <w:rsid w:val="0004284F"/>
    <w:rsid w:val="000472BD"/>
    <w:rsid w:val="00051C84"/>
    <w:rsid w:val="000547F0"/>
    <w:rsid w:val="00054A93"/>
    <w:rsid w:val="0006435A"/>
    <w:rsid w:val="00070FA8"/>
    <w:rsid w:val="0007196A"/>
    <w:rsid w:val="00073A90"/>
    <w:rsid w:val="00096026"/>
    <w:rsid w:val="000A1319"/>
    <w:rsid w:val="000A6C4C"/>
    <w:rsid w:val="000B6925"/>
    <w:rsid w:val="000E517E"/>
    <w:rsid w:val="000F30DC"/>
    <w:rsid w:val="00105FFD"/>
    <w:rsid w:val="001116BE"/>
    <w:rsid w:val="001173C9"/>
    <w:rsid w:val="0012687C"/>
    <w:rsid w:val="001605EC"/>
    <w:rsid w:val="001622FA"/>
    <w:rsid w:val="00165060"/>
    <w:rsid w:val="00172DCF"/>
    <w:rsid w:val="00176BB8"/>
    <w:rsid w:val="00183EE8"/>
    <w:rsid w:val="001840C9"/>
    <w:rsid w:val="00184ED1"/>
    <w:rsid w:val="001C00DF"/>
    <w:rsid w:val="001D2C06"/>
    <w:rsid w:val="001D678E"/>
    <w:rsid w:val="001E783F"/>
    <w:rsid w:val="001F4CFA"/>
    <w:rsid w:val="00200540"/>
    <w:rsid w:val="00203396"/>
    <w:rsid w:val="00204D55"/>
    <w:rsid w:val="00210C14"/>
    <w:rsid w:val="00222392"/>
    <w:rsid w:val="00232262"/>
    <w:rsid w:val="00270C6C"/>
    <w:rsid w:val="0029394E"/>
    <w:rsid w:val="002B24B1"/>
    <w:rsid w:val="002D1426"/>
    <w:rsid w:val="002D189D"/>
    <w:rsid w:val="002E1A37"/>
    <w:rsid w:val="002E3A50"/>
    <w:rsid w:val="002F173F"/>
    <w:rsid w:val="002F4C14"/>
    <w:rsid w:val="00323DFB"/>
    <w:rsid w:val="00365336"/>
    <w:rsid w:val="00366A8E"/>
    <w:rsid w:val="0037075D"/>
    <w:rsid w:val="0037476F"/>
    <w:rsid w:val="00374CF6"/>
    <w:rsid w:val="00380755"/>
    <w:rsid w:val="00385059"/>
    <w:rsid w:val="003A183F"/>
    <w:rsid w:val="003C235A"/>
    <w:rsid w:val="003C35EA"/>
    <w:rsid w:val="003C43BD"/>
    <w:rsid w:val="003C488A"/>
    <w:rsid w:val="003E7151"/>
    <w:rsid w:val="003E7546"/>
    <w:rsid w:val="00407DE9"/>
    <w:rsid w:val="00415D0B"/>
    <w:rsid w:val="0042770C"/>
    <w:rsid w:val="00445FB0"/>
    <w:rsid w:val="004526ED"/>
    <w:rsid w:val="00496A24"/>
    <w:rsid w:val="00497917"/>
    <w:rsid w:val="004C1841"/>
    <w:rsid w:val="004C2473"/>
    <w:rsid w:val="004D16D0"/>
    <w:rsid w:val="004E386E"/>
    <w:rsid w:val="004F4840"/>
    <w:rsid w:val="005038E9"/>
    <w:rsid w:val="0052546B"/>
    <w:rsid w:val="00531962"/>
    <w:rsid w:val="00540E1A"/>
    <w:rsid w:val="00542D65"/>
    <w:rsid w:val="0054745F"/>
    <w:rsid w:val="005650CA"/>
    <w:rsid w:val="0059560D"/>
    <w:rsid w:val="005B1745"/>
    <w:rsid w:val="005C457C"/>
    <w:rsid w:val="00620844"/>
    <w:rsid w:val="006231D8"/>
    <w:rsid w:val="00633E1D"/>
    <w:rsid w:val="00647847"/>
    <w:rsid w:val="00650DCF"/>
    <w:rsid w:val="00651616"/>
    <w:rsid w:val="00657FCF"/>
    <w:rsid w:val="0066152E"/>
    <w:rsid w:val="00661B28"/>
    <w:rsid w:val="006634FF"/>
    <w:rsid w:val="006662A4"/>
    <w:rsid w:val="00673A64"/>
    <w:rsid w:val="00681FBB"/>
    <w:rsid w:val="006901E3"/>
    <w:rsid w:val="006923DB"/>
    <w:rsid w:val="006A6EEE"/>
    <w:rsid w:val="006B25E4"/>
    <w:rsid w:val="006C3802"/>
    <w:rsid w:val="006D6A2A"/>
    <w:rsid w:val="00701120"/>
    <w:rsid w:val="00711C4F"/>
    <w:rsid w:val="00712760"/>
    <w:rsid w:val="007309DD"/>
    <w:rsid w:val="00731EC2"/>
    <w:rsid w:val="007321B8"/>
    <w:rsid w:val="007520AF"/>
    <w:rsid w:val="00753B86"/>
    <w:rsid w:val="00761230"/>
    <w:rsid w:val="007650FD"/>
    <w:rsid w:val="00771C87"/>
    <w:rsid w:val="007764E1"/>
    <w:rsid w:val="0079248D"/>
    <w:rsid w:val="007A5035"/>
    <w:rsid w:val="007A5317"/>
    <w:rsid w:val="007A7220"/>
    <w:rsid w:val="007B25F0"/>
    <w:rsid w:val="007D4AE0"/>
    <w:rsid w:val="007E6E31"/>
    <w:rsid w:val="007F2972"/>
    <w:rsid w:val="00801376"/>
    <w:rsid w:val="00817D2F"/>
    <w:rsid w:val="00822FFE"/>
    <w:rsid w:val="00843252"/>
    <w:rsid w:val="0085506B"/>
    <w:rsid w:val="0086420E"/>
    <w:rsid w:val="00874EB9"/>
    <w:rsid w:val="00883A69"/>
    <w:rsid w:val="00892E93"/>
    <w:rsid w:val="008B09DD"/>
    <w:rsid w:val="008C127B"/>
    <w:rsid w:val="008D66F9"/>
    <w:rsid w:val="0090125C"/>
    <w:rsid w:val="00902A58"/>
    <w:rsid w:val="009065F4"/>
    <w:rsid w:val="00907929"/>
    <w:rsid w:val="009213F7"/>
    <w:rsid w:val="009246BD"/>
    <w:rsid w:val="00973D9F"/>
    <w:rsid w:val="00986B29"/>
    <w:rsid w:val="00990752"/>
    <w:rsid w:val="00992DB2"/>
    <w:rsid w:val="00997C32"/>
    <w:rsid w:val="009A5CE3"/>
    <w:rsid w:val="009B7398"/>
    <w:rsid w:val="009C7685"/>
    <w:rsid w:val="009D1882"/>
    <w:rsid w:val="009E15BE"/>
    <w:rsid w:val="00A031E7"/>
    <w:rsid w:val="00A3656B"/>
    <w:rsid w:val="00A374B6"/>
    <w:rsid w:val="00A423C3"/>
    <w:rsid w:val="00A76D43"/>
    <w:rsid w:val="00A877B5"/>
    <w:rsid w:val="00A90C7F"/>
    <w:rsid w:val="00AA363E"/>
    <w:rsid w:val="00AB075D"/>
    <w:rsid w:val="00AB435F"/>
    <w:rsid w:val="00AC41E8"/>
    <w:rsid w:val="00AC66B1"/>
    <w:rsid w:val="00AD35AA"/>
    <w:rsid w:val="00AD46B0"/>
    <w:rsid w:val="00B0324D"/>
    <w:rsid w:val="00B30E4B"/>
    <w:rsid w:val="00B35BB2"/>
    <w:rsid w:val="00B66D47"/>
    <w:rsid w:val="00B8528E"/>
    <w:rsid w:val="00B97C36"/>
    <w:rsid w:val="00BA6FE3"/>
    <w:rsid w:val="00BC2875"/>
    <w:rsid w:val="00BC4D2E"/>
    <w:rsid w:val="00BC7226"/>
    <w:rsid w:val="00BE3CFC"/>
    <w:rsid w:val="00BF5B3D"/>
    <w:rsid w:val="00C028A5"/>
    <w:rsid w:val="00C15A7F"/>
    <w:rsid w:val="00C40423"/>
    <w:rsid w:val="00C429C1"/>
    <w:rsid w:val="00C43C09"/>
    <w:rsid w:val="00CA2425"/>
    <w:rsid w:val="00CB1DE6"/>
    <w:rsid w:val="00CC669A"/>
    <w:rsid w:val="00CC6B79"/>
    <w:rsid w:val="00CF1FD0"/>
    <w:rsid w:val="00D16566"/>
    <w:rsid w:val="00D26340"/>
    <w:rsid w:val="00D30981"/>
    <w:rsid w:val="00D47D93"/>
    <w:rsid w:val="00D57EB6"/>
    <w:rsid w:val="00D8218A"/>
    <w:rsid w:val="00D87568"/>
    <w:rsid w:val="00DA190E"/>
    <w:rsid w:val="00DC0F92"/>
    <w:rsid w:val="00DD6B6C"/>
    <w:rsid w:val="00E0183B"/>
    <w:rsid w:val="00E0342D"/>
    <w:rsid w:val="00E0647D"/>
    <w:rsid w:val="00E12900"/>
    <w:rsid w:val="00E218EB"/>
    <w:rsid w:val="00E412EA"/>
    <w:rsid w:val="00E44BC1"/>
    <w:rsid w:val="00E53D25"/>
    <w:rsid w:val="00E61CA9"/>
    <w:rsid w:val="00E703F8"/>
    <w:rsid w:val="00E748EE"/>
    <w:rsid w:val="00E8187F"/>
    <w:rsid w:val="00EA152E"/>
    <w:rsid w:val="00EA54DA"/>
    <w:rsid w:val="00EB2129"/>
    <w:rsid w:val="00EB784B"/>
    <w:rsid w:val="00ED1D84"/>
    <w:rsid w:val="00ED313F"/>
    <w:rsid w:val="00F04D90"/>
    <w:rsid w:val="00F30D89"/>
    <w:rsid w:val="00F32920"/>
    <w:rsid w:val="00F434BA"/>
    <w:rsid w:val="00F4469F"/>
    <w:rsid w:val="00F4625A"/>
    <w:rsid w:val="00F51095"/>
    <w:rsid w:val="00F526CB"/>
    <w:rsid w:val="00F57851"/>
    <w:rsid w:val="00F61FBE"/>
    <w:rsid w:val="00F66E97"/>
    <w:rsid w:val="00F70FC3"/>
    <w:rsid w:val="00F9652C"/>
    <w:rsid w:val="00FC33A3"/>
    <w:rsid w:val="00FD0E7A"/>
    <w:rsid w:val="00FE1C8B"/>
    <w:rsid w:val="00FE409C"/>
    <w:rsid w:val="00FE7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25A"/>
    <w:pPr>
      <w:spacing w:after="200" w:line="276" w:lineRule="auto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14EC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0547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172DC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rsid w:val="00701120"/>
    <w:rPr>
      <w:rFonts w:cs="Times New Roman"/>
      <w:color w:val="954F72"/>
      <w:u w:val="single"/>
    </w:rPr>
  </w:style>
  <w:style w:type="paragraph" w:styleId="Header">
    <w:name w:val="header"/>
    <w:basedOn w:val="Normal"/>
    <w:link w:val="HeaderChar"/>
    <w:uiPriority w:val="99"/>
    <w:rsid w:val="00E018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0183B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E018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0183B"/>
    <w:rPr>
      <w:rFonts w:cs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4325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3252"/>
    <w:rPr>
      <w:rFonts w:ascii="Segoe UI" w:hAnsi="Segoe UI" w:cs="Times New Roman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4469F"/>
    <w:rPr>
      <w:rFonts w:cs="Times New Roman"/>
      <w:color w:val="808080"/>
    </w:rPr>
  </w:style>
  <w:style w:type="character" w:styleId="PageNumber">
    <w:name w:val="page number"/>
    <w:basedOn w:val="DefaultParagraphFont"/>
    <w:uiPriority w:val="99"/>
    <w:rsid w:val="0085506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9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customs.ru/attachments/article/17090/WEB_UTSA_03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572</TotalTime>
  <Pages>14</Pages>
  <Words>3257</Words>
  <Characters>18566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14</cp:revision>
  <cp:lastPrinted>2013-12-13T04:39:00Z</cp:lastPrinted>
  <dcterms:created xsi:type="dcterms:W3CDTF">2013-12-13T10:21:00Z</dcterms:created>
  <dcterms:modified xsi:type="dcterms:W3CDTF">2013-12-16T08:32:00Z</dcterms:modified>
</cp:coreProperties>
</file>