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503"/>
        <w:gridCol w:w="4783"/>
      </w:tblGrid>
      <w:tr w:rsidR="008605B2" w:rsidRPr="004671B4" w:rsidTr="00C32BF8">
        <w:tc>
          <w:tcPr>
            <w:tcW w:w="450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4671B4">
              <w:rPr>
                <w:rFonts w:ascii="Times New Roman" w:hAnsi="Times New Roman"/>
                <w:caps/>
                <w:sz w:val="20"/>
                <w:szCs w:val="20"/>
              </w:rPr>
              <w:t>657.22</w:t>
            </w:r>
          </w:p>
        </w:tc>
        <w:tc>
          <w:tcPr>
            <w:tcW w:w="478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4671B4">
              <w:rPr>
                <w:rFonts w:ascii="Times New Roman" w:hAnsi="Times New Roman"/>
                <w:caps/>
                <w:sz w:val="20"/>
                <w:szCs w:val="20"/>
              </w:rPr>
              <w:t>657.22</w:t>
            </w:r>
          </w:p>
        </w:tc>
      </w:tr>
      <w:tr w:rsidR="008605B2" w:rsidRPr="004671B4" w:rsidTr="00723939">
        <w:trPr>
          <w:trHeight w:val="74"/>
        </w:trPr>
        <w:tc>
          <w:tcPr>
            <w:tcW w:w="450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605B2" w:rsidRPr="004671B4" w:rsidTr="00C32BF8">
        <w:tc>
          <w:tcPr>
            <w:tcW w:w="4503" w:type="dxa"/>
          </w:tcPr>
          <w:p w:rsidR="008605B2" w:rsidRPr="004671B4" w:rsidRDefault="008605B2" w:rsidP="00180FF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71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НОРМАТИВНОЕ И МЕТОДИЧЕСКОЕ ОБЕСПЕЧЕНИЕ ТЕОРИИ АМОРТИЗАЦ</w:t>
            </w:r>
            <w:r w:rsidRPr="004671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4671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ОННОГО ФОНДА СЕЛЬСКОХОЗЯЙС</w:t>
            </w:r>
            <w:r w:rsidRPr="004671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4671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ВЕННЫХ ОРГАНИЗАЦИЙ</w:t>
            </w:r>
          </w:p>
        </w:tc>
        <w:tc>
          <w:tcPr>
            <w:tcW w:w="4783" w:type="dxa"/>
          </w:tcPr>
          <w:p w:rsidR="008605B2" w:rsidRPr="004671B4" w:rsidRDefault="008605B2" w:rsidP="00180F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671B4">
              <w:rPr>
                <w:rStyle w:val="hps"/>
                <w:rFonts w:ascii="Times New Roman" w:hAnsi="Times New Roman"/>
                <w:b/>
                <w:sz w:val="20"/>
                <w:szCs w:val="20"/>
                <w:lang/>
              </w:rPr>
              <w:t>NORMATIVE AND METHODICAL BASIS OF</w:t>
            </w:r>
            <w:r w:rsidRPr="004671B4"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THE THEORY OF </w:t>
            </w:r>
            <w:r w:rsidRPr="004671B4">
              <w:rPr>
                <w:rStyle w:val="hps"/>
                <w:rFonts w:ascii="Times New Roman" w:hAnsi="Times New Roman"/>
                <w:b/>
                <w:sz w:val="20"/>
                <w:szCs w:val="20"/>
                <w:lang/>
              </w:rPr>
              <w:t>DEPRECIATION RESERVES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b/>
                <w:sz w:val="20"/>
                <w:szCs w:val="20"/>
                <w:lang/>
              </w:rPr>
              <w:t xml:space="preserve">IN </w:t>
            </w:r>
            <w:bookmarkStart w:id="0" w:name="_GoBack"/>
            <w:bookmarkEnd w:id="0"/>
            <w:r w:rsidRPr="004671B4">
              <w:rPr>
                <w:rStyle w:val="hps"/>
                <w:rFonts w:ascii="Times New Roman" w:hAnsi="Times New Roman"/>
                <w:b/>
                <w:sz w:val="20"/>
                <w:szCs w:val="20"/>
                <w:lang/>
              </w:rPr>
              <w:t xml:space="preserve">AGRICULTURAL 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/>
              </w:rPr>
              <w:t>COMPANIES</w:t>
            </w:r>
          </w:p>
        </w:tc>
      </w:tr>
      <w:tr w:rsidR="008605B2" w:rsidRPr="004671B4" w:rsidTr="00C32BF8">
        <w:tc>
          <w:tcPr>
            <w:tcW w:w="450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</w:tc>
      </w:tr>
      <w:tr w:rsidR="008605B2" w:rsidRPr="005330E4" w:rsidTr="00C32BF8">
        <w:tc>
          <w:tcPr>
            <w:tcW w:w="4503" w:type="dxa"/>
          </w:tcPr>
          <w:p w:rsidR="008605B2" w:rsidRPr="00E84052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1" w:name="OLE_LINK1"/>
            <w:bookmarkStart w:id="2" w:name="OLE_LINK2"/>
            <w:r w:rsidRPr="004671B4">
              <w:rPr>
                <w:rFonts w:ascii="Times New Roman" w:hAnsi="Times New Roman"/>
                <w:sz w:val="20"/>
                <w:szCs w:val="20"/>
              </w:rPr>
              <w:t>Мороз Наталья Юрьевна</w:t>
            </w:r>
            <w:bookmarkEnd w:id="1"/>
            <w:bookmarkEnd w:id="2"/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>аспирант кафедры теории бухгалтерского</w:t>
            </w:r>
          </w:p>
          <w:p w:rsidR="008605B2" w:rsidRPr="00E84052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>учета</w:t>
            </w:r>
          </w:p>
        </w:tc>
        <w:tc>
          <w:tcPr>
            <w:tcW w:w="478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Moroz Natalia Yurievna</w:t>
            </w:r>
          </w:p>
          <w:p w:rsidR="008605B2" w:rsidRPr="00E84052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postgraduate student of 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ccounting theory sub-faculty</w:t>
            </w:r>
          </w:p>
        </w:tc>
      </w:tr>
      <w:tr w:rsidR="008605B2" w:rsidRPr="005330E4" w:rsidTr="00C32BF8">
        <w:tc>
          <w:tcPr>
            <w:tcW w:w="4503" w:type="dxa"/>
          </w:tcPr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</w:tc>
      </w:tr>
      <w:tr w:rsidR="008605B2" w:rsidRPr="004671B4" w:rsidTr="00C32BF8">
        <w:tc>
          <w:tcPr>
            <w:tcW w:w="4503" w:type="dxa"/>
          </w:tcPr>
          <w:p w:rsidR="008605B2" w:rsidRPr="00E84052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Рыбянцева Мария Сергеевна</w:t>
            </w:r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 xml:space="preserve">к.э.н., доцент кафедры теории </w:t>
            </w:r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>бухгалтерского учета</w:t>
            </w:r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71B4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783" w:type="dxa"/>
          </w:tcPr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Ribiantzeva</w:t>
            </w:r>
            <w:r w:rsidRPr="00533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Maria</w:t>
            </w:r>
            <w:r w:rsidRPr="00533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Sergeevna</w:t>
            </w:r>
          </w:p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Econ</w:t>
            </w:r>
            <w:r w:rsidRPr="005330E4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5330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associate</w:t>
            </w:r>
            <w:r w:rsidRPr="005330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  <w:r w:rsidRPr="005330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5330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330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ccounting</w:t>
            </w:r>
            <w:r w:rsidRPr="00533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theory</w:t>
            </w:r>
            <w:r w:rsidRPr="00533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sub</w:t>
            </w:r>
            <w:r w:rsidRPr="005330E4">
              <w:rPr>
                <w:rFonts w:ascii="Times New Roman" w:hAnsi="Times New Roman"/>
                <w:sz w:val="20"/>
                <w:szCs w:val="20"/>
              </w:rPr>
              <w:t>-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faculty</w:t>
            </w:r>
          </w:p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71B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</w:t>
            </w:r>
            <w:r w:rsidRPr="005330E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671B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</w:t>
            </w:r>
            <w:r w:rsidRPr="005330E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671B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Agrarian</w:t>
            </w:r>
            <w:r w:rsidRPr="005330E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671B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University</w:t>
            </w:r>
            <w:r w:rsidRPr="005330E4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71B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</w:t>
            </w:r>
            <w:r w:rsidRPr="005330E4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4671B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Russia</w:t>
            </w:r>
          </w:p>
        </w:tc>
      </w:tr>
      <w:tr w:rsidR="008605B2" w:rsidRPr="004671B4" w:rsidTr="00C32BF8">
        <w:tc>
          <w:tcPr>
            <w:tcW w:w="4503" w:type="dxa"/>
          </w:tcPr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3" w:type="dxa"/>
          </w:tcPr>
          <w:p w:rsidR="008605B2" w:rsidRPr="005330E4" w:rsidRDefault="008605B2" w:rsidP="00C32B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05B2" w:rsidRPr="005330E4" w:rsidTr="00C32BF8">
        <w:tc>
          <w:tcPr>
            <w:tcW w:w="4503" w:type="dxa"/>
          </w:tcPr>
          <w:p w:rsidR="008605B2" w:rsidRPr="004671B4" w:rsidRDefault="008605B2" w:rsidP="00CE3214">
            <w:pPr>
              <w:pStyle w:val="31"/>
              <w:suppressAutoHyphens w:val="0"/>
              <w:spacing w:line="240" w:lineRule="auto"/>
              <w:ind w:firstLine="0"/>
              <w:rPr>
                <w:color w:val="FF0000"/>
                <w:sz w:val="20"/>
              </w:rPr>
            </w:pPr>
            <w:r w:rsidRPr="004671B4">
              <w:rPr>
                <w:sz w:val="20"/>
              </w:rPr>
              <w:t>В данной статье рассматриваются методики ра</w:t>
            </w:r>
            <w:r w:rsidRPr="004671B4">
              <w:rPr>
                <w:sz w:val="20"/>
              </w:rPr>
              <w:t>с</w:t>
            </w:r>
            <w:r w:rsidRPr="004671B4">
              <w:rPr>
                <w:sz w:val="20"/>
              </w:rPr>
              <w:t>чета и отражения на счетах бухгалтерского учета амортизационного фонда компании. Методики дифференцированы по способу начисления амо</w:t>
            </w:r>
            <w:r w:rsidRPr="004671B4">
              <w:rPr>
                <w:sz w:val="20"/>
              </w:rPr>
              <w:t>р</w:t>
            </w:r>
            <w:r w:rsidRPr="004671B4">
              <w:rPr>
                <w:sz w:val="20"/>
              </w:rPr>
              <w:t>тизации</w:t>
            </w:r>
          </w:p>
        </w:tc>
        <w:tc>
          <w:tcPr>
            <w:tcW w:w="4783" w:type="dxa"/>
          </w:tcPr>
          <w:p w:rsidR="008605B2" w:rsidRPr="004671B4" w:rsidRDefault="008605B2" w:rsidP="00CE321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This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article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is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dedicated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to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the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methods of calculation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and the accounts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reflection of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the depreciation reserves.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The methods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are differentiated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on the method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671B4">
              <w:rPr>
                <w:rStyle w:val="hps"/>
                <w:rFonts w:ascii="Times New Roman" w:hAnsi="Times New Roman"/>
                <w:sz w:val="20"/>
                <w:szCs w:val="20"/>
                <w:lang/>
              </w:rPr>
              <w:t>of depreciation calculation</w:t>
            </w:r>
          </w:p>
        </w:tc>
      </w:tr>
      <w:tr w:rsidR="008605B2" w:rsidRPr="005330E4" w:rsidTr="00C32BF8">
        <w:tc>
          <w:tcPr>
            <w:tcW w:w="450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605B2" w:rsidRPr="004671B4" w:rsidTr="00C32BF8">
        <w:tc>
          <w:tcPr>
            <w:tcW w:w="450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 xml:space="preserve">Ключевые слова:  АМОРТИЗАЦИЯ, </w:t>
            </w:r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 xml:space="preserve">АМОРТИЗАЦИОННЫЙ ФОНД, </w:t>
            </w:r>
          </w:p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B4">
              <w:rPr>
                <w:rFonts w:ascii="Times New Roman" w:hAnsi="Times New Roman"/>
                <w:sz w:val="20"/>
                <w:szCs w:val="20"/>
              </w:rPr>
              <w:t>ВОСПРОИЗВОДСТВО ОСНОВНЫХ СРЕДСТВ</w:t>
            </w:r>
          </w:p>
        </w:tc>
        <w:tc>
          <w:tcPr>
            <w:tcW w:w="4783" w:type="dxa"/>
          </w:tcPr>
          <w:p w:rsidR="008605B2" w:rsidRPr="004671B4" w:rsidRDefault="008605B2" w:rsidP="00C32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DEPRECIATION, 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DEPRECIATION R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671B4">
              <w:rPr>
                <w:rFonts w:ascii="Times New Roman" w:hAnsi="Times New Roman"/>
                <w:sz w:val="20"/>
                <w:szCs w:val="20"/>
                <w:lang w:val="en-US"/>
              </w:rPr>
              <w:t>SERVES, REPRODUCTION OF FIXED ASSETS</w:t>
            </w:r>
          </w:p>
        </w:tc>
      </w:tr>
    </w:tbl>
    <w:p w:rsidR="008605B2" w:rsidRPr="00840BE8" w:rsidRDefault="008605B2" w:rsidP="00C32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05B2" w:rsidRDefault="008605B2" w:rsidP="009B4D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Нехватка источников финансирования является одной из насущных проблем организаций аграрного сектора экономики. Если возможность привлечения внешних источников финансирования зависит от многих факторов, то оптимизация внутренних источников по силам любой агра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ной организации. В этой связи, повышается интерес к амортизационному фонду (фонду реновации) как источнику воспроизводства основных средств.</w:t>
      </w:r>
    </w:p>
    <w:p w:rsidR="008605B2" w:rsidRDefault="008605B2" w:rsidP="009B4D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мнению Еременко Т. В., фонд реновации и амортизационный фонд – это совершенно различные категории. Формирование амортизац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онного фонда – это процесс включения амортизационных отчислений в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бестоимость производимой продукции, формирование фонда реновации – это процесс накопления средств для последующего реинвестирования. Фонд реновации формируется только при получении ликвидных активов (кассовый принцип формирования), поэтому всегда меньше, чем аморт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зационный фонд (формируемый на основе метода начисления), потому что часть амортизационных отчислений всегда будет оставаться нереализова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и включаться в оценку незавершенного производства, остатков гот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продукции и в составе дебиторской задолженности покупателей.</w:t>
      </w:r>
    </w:p>
    <w:p w:rsidR="008605B2" w:rsidRDefault="008605B2" w:rsidP="00E932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наш взгляд, разграничение данных категорий представляется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лишним, поскольку амортизационный фонд (как будет отражено ниже) формируется по кассовому методу. </w:t>
      </w:r>
    </w:p>
    <w:p w:rsidR="008605B2" w:rsidRDefault="008605B2" w:rsidP="00E932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Формирование амортизационного фонда и отражение его в динамике в системе счетов бухгалтерского учета отражает намерение руководства компании сохранить целевой характер его использования (воспроизводс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во основных средств). </w:t>
      </w:r>
      <w:r>
        <w:rPr>
          <w:rFonts w:ascii="Times New Roman" w:hAnsi="Times New Roman"/>
          <w:sz w:val="28"/>
          <w:szCs w:val="28"/>
          <w:lang w:eastAsia="ru-RU"/>
        </w:rPr>
        <w:t>Для формирования теории амортизационного фонда необходимо внесение ряда небольших изменений в План счетов бухга</w:t>
      </w:r>
      <w:r>
        <w:rPr>
          <w:rFonts w:ascii="Times New Roman" w:hAnsi="Times New Roman"/>
          <w:sz w:val="28"/>
          <w:szCs w:val="28"/>
          <w:lang w:eastAsia="ru-RU"/>
        </w:rPr>
        <w:t>л</w:t>
      </w:r>
      <w:r>
        <w:rPr>
          <w:rFonts w:ascii="Times New Roman" w:hAnsi="Times New Roman"/>
          <w:sz w:val="28"/>
          <w:szCs w:val="28"/>
          <w:lang w:eastAsia="ru-RU"/>
        </w:rPr>
        <w:t>терского учета (таблица 1).</w:t>
      </w:r>
    </w:p>
    <w:p w:rsidR="008605B2" w:rsidRPr="00DE023E" w:rsidRDefault="008605B2" w:rsidP="00E932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05B2" w:rsidRDefault="008605B2" w:rsidP="00631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Рекомендованные изменения в План счетов бухгалтерского </w:t>
      </w:r>
    </w:p>
    <w:p w:rsidR="008605B2" w:rsidRDefault="008605B2" w:rsidP="00631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учета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4"/>
        <w:gridCol w:w="5788"/>
      </w:tblGrid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Синтетические счета</w:t>
            </w:r>
          </w:p>
        </w:tc>
        <w:tc>
          <w:tcPr>
            <w:tcW w:w="578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Аналитика </w:t>
            </w:r>
          </w:p>
        </w:tc>
      </w:tr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02 «Амортизация основных средств»</w:t>
            </w:r>
          </w:p>
        </w:tc>
        <w:tc>
          <w:tcPr>
            <w:tcW w:w="578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 xml:space="preserve">По отдельным инвентарным объектам основных средств с указанием периода 1,2 … </w:t>
            </w:r>
            <w:r w:rsidRPr="00D35403">
              <w:rPr>
                <w:rStyle w:val="blk"/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 «Затраты на продукт»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8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20/ «Прямые затраты» (по видам продукции)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20/ «Производственные расходы к распределению» (суммы, списанные со счета 25)</w:t>
            </w:r>
          </w:p>
        </w:tc>
      </w:tr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25 «Производственные расходы к распределению»</w:t>
            </w:r>
          </w:p>
        </w:tc>
        <w:tc>
          <w:tcPr>
            <w:tcW w:w="5788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отдельные подразделения организации;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статьи расходов (кроме амортизации)</w:t>
            </w:r>
          </w:p>
        </w:tc>
      </w:tr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26 «Расходы периода» </w:t>
            </w:r>
          </w:p>
        </w:tc>
        <w:tc>
          <w:tcPr>
            <w:tcW w:w="5788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статья соответствующих смет;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место возникновения затрат и др.</w:t>
            </w:r>
          </w:p>
        </w:tc>
      </w:tr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012 «Амортизационный фонд» </w:t>
            </w:r>
          </w:p>
        </w:tc>
        <w:tc>
          <w:tcPr>
            <w:tcW w:w="5788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По видам основных средств в разрезе: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модернизации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реконструкции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Style w:val="blk"/>
                <w:rFonts w:ascii="Times New Roman" w:hAnsi="Times New Roman"/>
                <w:sz w:val="24"/>
                <w:szCs w:val="24"/>
              </w:rPr>
              <w:t>– приобретения или строительства</w:t>
            </w:r>
          </w:p>
        </w:tc>
      </w:tr>
      <w:tr w:rsidR="008605B2" w:rsidRPr="00D35403" w:rsidTr="00D35403">
        <w:trPr>
          <w:trHeight w:val="258"/>
        </w:trPr>
        <w:tc>
          <w:tcPr>
            <w:tcW w:w="379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013 «Дефицит амортизационного фонда» </w:t>
            </w:r>
          </w:p>
        </w:tc>
        <w:tc>
          <w:tcPr>
            <w:tcW w:w="5788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При превышении стоимости поступившего объекта над величиной начисленного фонда</w:t>
            </w:r>
          </w:p>
        </w:tc>
      </w:tr>
    </w:tbl>
    <w:p w:rsidR="008605B2" w:rsidRDefault="008605B2" w:rsidP="00844059">
      <w:pPr>
        <w:tabs>
          <w:tab w:val="left" w:pos="21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C32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1E3">
        <w:rPr>
          <w:rFonts w:ascii="Times New Roman" w:hAnsi="Times New Roman"/>
          <w:sz w:val="28"/>
          <w:szCs w:val="28"/>
          <w:lang w:eastAsia="ru-RU"/>
        </w:rPr>
        <w:t>Несмотря на наличие выбора способа начисления амортизации о</w:t>
      </w:r>
      <w:r w:rsidRPr="004851E3">
        <w:rPr>
          <w:rFonts w:ascii="Times New Roman" w:hAnsi="Times New Roman"/>
          <w:sz w:val="28"/>
          <w:szCs w:val="28"/>
          <w:lang w:eastAsia="ru-RU"/>
        </w:rPr>
        <w:t>с</w:t>
      </w:r>
      <w:r w:rsidRPr="004851E3">
        <w:rPr>
          <w:rFonts w:ascii="Times New Roman" w:hAnsi="Times New Roman"/>
          <w:sz w:val="28"/>
          <w:szCs w:val="28"/>
          <w:lang w:eastAsia="ru-RU"/>
        </w:rPr>
        <w:t>новных средств, организации, чаще всего, используют линейный способ начисления амортизации.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Теория амортизационного фонда предполагает следующий алгоритм начисления амортизации:</w:t>
      </w:r>
    </w:p>
    <w:p w:rsidR="008605B2" w:rsidRDefault="008605B2" w:rsidP="00B841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амортизация, начисляемая без использования натуральных показ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телей (т.е. относящаяся к постоянным затратам), относится на счет 26 «Расх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ды периода», поскольку не зависит от наличия деятельности, а лишь от пр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должительности периода; 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прямые затраты, получаемые при начислении амортизации спос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бом списания стоимости пропорционально объему продукции (работ), м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гут быть напрямую соотнесены с объектом калькулирования, а, следов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тельно, могут включаться в состав затрат по счету 20 «Затраты на пр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дукт» субсчет «Пр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мые затраты»;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единственное исключение составляет начисление амортизации при возведении объекта основных средств хозяйственным способом. В этом сл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чае, независимо от способа начисления применяется счет 08 «Вложения во внеоборотные активы»;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счет 25 «Производственные расходы к распределению» для начи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ления амортизации не используется.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Рассмотрим основные корреспонденции счетов:</w:t>
      </w:r>
    </w:p>
    <w:p w:rsidR="008605B2" w:rsidRDefault="008605B2" w:rsidP="002F7DA3">
      <w:pPr>
        <w:spacing w:after="0" w:line="36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Начислена амортизация основных средств, начисленная способом </w:t>
      </w:r>
      <w:r w:rsidRPr="00E709A2">
        <w:rPr>
          <w:rStyle w:val="blk"/>
          <w:rFonts w:ascii="Times New Roman" w:hAnsi="Times New Roman"/>
          <w:sz w:val="28"/>
          <w:szCs w:val="28"/>
        </w:rPr>
        <w:t>списания стоимости пропорционально объему продукции (работ)</w:t>
      </w:r>
      <w:r>
        <w:rPr>
          <w:rStyle w:val="blk"/>
          <w:rFonts w:ascii="Times New Roman" w:hAnsi="Times New Roman"/>
          <w:sz w:val="28"/>
          <w:szCs w:val="28"/>
        </w:rPr>
        <w:t>:</w:t>
      </w:r>
    </w:p>
    <w:p w:rsidR="008605B2" w:rsidRDefault="008605B2" w:rsidP="002F7DA3">
      <w:pPr>
        <w:spacing w:after="0" w:line="36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Дебет счета 20 «Затраты на продукт» Кредит счета 02 «Амортизация основных средств» субсчет «Амортизация отчетного года».</w:t>
      </w:r>
    </w:p>
    <w:p w:rsidR="008605B2" w:rsidRDefault="008605B2" w:rsidP="002F7DA3">
      <w:pPr>
        <w:spacing w:after="0" w:line="36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2) Начислена амортизация основных средств, начисленная линейным способом:</w:t>
      </w:r>
    </w:p>
    <w:p w:rsidR="008605B2" w:rsidRDefault="008605B2" w:rsidP="002F7DA3">
      <w:pPr>
        <w:spacing w:after="0" w:line="36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Дебет счета 26 «Расходы периода» Кредит счета 02 «Амортизация основных средств» субсчет «Амортизация отчетного года».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Начислен амортизационный фонд компании (по видам основных средств» одновременно с реформацией баланса.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Дебет счета 012 «Амортизационный фонд».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Отражено уменьшение амортизационного фонда в связи с прио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>ретением, строительством, модернизацией и реконструкцией основных средств: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Кредит счета 012 «Амортизационный фонд».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 При превышении стоимости объекта основных средств над вел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чиной амортизационного фонда на сумму разницы: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Дебет счета 013 «Дефицит амортизационного фонда».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При пополнении амортизационного фонда при наличии его деф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цита: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Кредит счета 013 «Дефицит амортизационного фонда».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внедрении теории амортизационного фонда для существующих организаций амортизационный фонд формируется за три года (отчетный и два предыдущих).</w:t>
      </w:r>
    </w:p>
    <w:p w:rsidR="008605B2" w:rsidRDefault="008605B2" w:rsidP="00814C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проведенных исследований, можно сформировать но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мативный документ, регламентирующий методики формирования аморт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зационного фонда, – «Методические рекомендации по формированию аморт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зационного фонда». Данный документ имеет следующие разделы (рисунок 1).</w:t>
      </w:r>
    </w:p>
    <w:p w:rsidR="008605B2" w:rsidRDefault="008605B2" w:rsidP="003569E4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403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64" o:spid="_x0000_i1025" type="#_x0000_t75" style="width:434.4pt;height:212.4pt;visibility:visible">
            <v:imagedata r:id="rId7" o:title=""/>
            <o:lock v:ext="edit" aspectratio="f"/>
          </v:shape>
        </w:pict>
      </w:r>
    </w:p>
    <w:p w:rsidR="008605B2" w:rsidRDefault="008605B2" w:rsidP="003569E4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84FE0">
      <w:pPr>
        <w:tabs>
          <w:tab w:val="left" w:pos="216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Структура «Методические рекомендации по</w:t>
      </w:r>
    </w:p>
    <w:p w:rsidR="008605B2" w:rsidRDefault="008605B2" w:rsidP="00884FE0">
      <w:pPr>
        <w:tabs>
          <w:tab w:val="left" w:pos="216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формированию амортизационного фонда»</w:t>
      </w:r>
    </w:p>
    <w:p w:rsidR="008605B2" w:rsidRDefault="008605B2" w:rsidP="002F7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 «Общие положения».</w:t>
      </w:r>
    </w:p>
    <w:p w:rsidR="008605B2" w:rsidRDefault="008605B2" w:rsidP="00714D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Амортизационный фонд является источником воспроизводства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новных средств. </w:t>
      </w:r>
      <w:r>
        <w:rPr>
          <w:rFonts w:ascii="Times New Roman" w:hAnsi="Times New Roman"/>
          <w:sz w:val="28"/>
          <w:szCs w:val="28"/>
          <w:lang w:eastAsia="ru-RU"/>
        </w:rPr>
        <w:t>В основе его формирования лежит кассовый метод.</w:t>
      </w:r>
    </w:p>
    <w:p w:rsidR="008605B2" w:rsidRPr="00233F1A" w:rsidRDefault="008605B2" w:rsidP="00714D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Формирование амортизационного фонда осуществляется изолир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ванно для основных средств, амортизация по которым начисляется по:линейному способу;по способу</w:t>
      </w:r>
      <w:r w:rsidRPr="00233F1A">
        <w:rPr>
          <w:rStyle w:val="blk"/>
          <w:rFonts w:ascii="Times New Roman" w:hAnsi="Times New Roman"/>
          <w:sz w:val="28"/>
          <w:szCs w:val="28"/>
        </w:rPr>
        <w:t>списания стоимости пропорционально объему продукции (работ)</w:t>
      </w:r>
      <w:r>
        <w:rPr>
          <w:rStyle w:val="blk"/>
          <w:rFonts w:ascii="Times New Roman" w:hAnsi="Times New Roman"/>
          <w:sz w:val="28"/>
          <w:szCs w:val="28"/>
        </w:rPr>
        <w:t>.</w:t>
      </w:r>
    </w:p>
    <w:p w:rsidR="008605B2" w:rsidRDefault="008605B2" w:rsidP="00714D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Переоценка влияет на величину амортизационного фонда лишь в части восстановительной стоимости, амортизируемой и включаемой в с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бесто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мость произведенной и реализованной продукции. Независимо от применяемого способа начисления амортизации, при осуществлении пер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оценки ув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личение сальдо по кредиту счета 02 «Амортизация основных средств» не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влияет на величину амортизационного фонда, т.к. оно не обеспечено прит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ком активов в денежной форме. </w:t>
      </w:r>
    </w:p>
    <w:p w:rsidR="008605B2" w:rsidRPr="00F9580E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Раздел II «Расчет амортизационного фонда при линейном способе начисления амортизации».</w:t>
      </w:r>
    </w:p>
    <w:p w:rsidR="008605B2" w:rsidRDefault="008605B2" w:rsidP="00714D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Рассмотрим условный цифровой пример, иллюстрирующий форм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рование амортизационного фонда по основным средствам, амортизиру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мым по линейному способу. Объект основных средств стоимостью 100000 руб. со сроком полезного использования 5 лет. Амортизация начисляется линейным способом. На второй год произведена переоценка с коэффиц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ентом 1,5. </w:t>
      </w:r>
    </w:p>
    <w:p w:rsidR="008605B2" w:rsidRDefault="008605B2" w:rsidP="00714D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Себестоимость реализованной продукции в первый год – 100000 руб., во второй – 120000 руб., в третий – 110000 руб.Примем упрощение, что иных расходов периода кроме амортизации нет. Выручка-нетто от продажи соста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ляет за первый год – 150000 руб., за второй – 180000 руб., в третий – 160000 руб.</w:t>
      </w:r>
    </w:p>
    <w:p w:rsidR="008605B2" w:rsidRPr="000A7685" w:rsidRDefault="008605B2" w:rsidP="00B658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Продукция покупателей оплачивается, исходя из соотношения:50 % в отчетном периоде; 50 % в периоде, следующим за отчетным. </w:t>
      </w:r>
    </w:p>
    <w:p w:rsidR="008605B2" w:rsidRDefault="008605B2" w:rsidP="00353F71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первый год эксплуатации амортизация объекта основных средств составила 100000 * 0,2 = 20000 руб.</w:t>
      </w:r>
    </w:p>
    <w:p w:rsidR="008605B2" w:rsidRDefault="008605B2" w:rsidP="00353F71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переоценки восстановительная стоимость составила 150000, амортизация – 30000. Амортизация за второй год составила 150000 * 0,2 = 30000 руб. (именно в части амортизационных отчислений переоценка влияет на размер амортизационного фонда).</w:t>
      </w:r>
    </w:p>
    <w:p w:rsidR="008605B2" w:rsidRDefault="008605B2" w:rsidP="00353F71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таблице 2 показан пример расчета амортизационного фонда. 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на конец третьего года по дебету счета </w:t>
      </w:r>
      <w:r>
        <w:rPr>
          <w:rFonts w:ascii="Times New Roman" w:hAnsi="Times New Roman"/>
          <w:sz w:val="28"/>
          <w:szCs w:val="28"/>
          <w:lang w:eastAsia="ru-RU"/>
        </w:rPr>
        <w:t>012 «Аморт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зационный фонд» будет отражена величина 65000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Допустим, что в четвертом году приобретен объект основных средств за 70000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следует отразить следующие учетные записи: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Отражено направление амортизационного фонда на приобретение объекта основных средств: 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 счета 012 «Амортизационный фонд» – 65000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Отражен дефицит амортизационного фонда, образованный в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зультате превышения стоимости приобретенного объекта основных средств над накопленной величиной амортизационного фонда: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Дебет счета 013 «Дефицит амортизационного фонда» – 5000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 формировании амортизационного фонда в конце четвертого года дефицит амортизационного фонда будет погашен: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 счета 013 «Дефицит амортизационного фонда» – 5000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Неиспользованный амортизационный фонд отнесен на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вующий забалансовый счет: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Дебет счета 012 «Амортизационный фонд» – 10000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для оценки структуры источников финансирования воспроизводственного процесса рассчитаем коэффициент финансирования объектов основных средств за счет амортизационных отчислений. В че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вертом году его значение составит: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65000/70000 = 92,86 %, т.е. 92,3 % стоимости объекта профинанс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рованы за счет амортизационного фонда, а 7,7 % за счет прочих источн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ков.</w:t>
      </w:r>
    </w:p>
    <w:p w:rsidR="008605B2" w:rsidRDefault="008605B2" w:rsidP="00D11631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8605B2" w:rsidSect="004671B4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8" w:footer="708" w:gutter="0"/>
          <w:pgNumType w:start="1"/>
          <w:cols w:space="708"/>
          <w:docGrid w:linePitch="360"/>
        </w:sectPr>
      </w:pPr>
    </w:p>
    <w:p w:rsidR="008605B2" w:rsidRPr="00B03EE1" w:rsidRDefault="008605B2">
      <w:pPr>
        <w:rPr>
          <w:rFonts w:ascii="Times New Roman" w:hAnsi="Times New Roman"/>
          <w:sz w:val="28"/>
          <w:szCs w:val="28"/>
        </w:rPr>
      </w:pPr>
      <w:r w:rsidRPr="00B03EE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B03EE1">
        <w:rPr>
          <w:rFonts w:ascii="Times New Roman" w:hAnsi="Times New Roman"/>
          <w:sz w:val="28"/>
          <w:szCs w:val="28"/>
        </w:rPr>
        <w:t xml:space="preserve">– Расчет величины амортизационного фонда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0"/>
        <w:gridCol w:w="2814"/>
        <w:gridCol w:w="3087"/>
        <w:gridCol w:w="2407"/>
      </w:tblGrid>
      <w:tr w:rsidR="008605B2" w:rsidRPr="00D35403" w:rsidTr="00D35403">
        <w:trPr>
          <w:trHeight w:val="273"/>
        </w:trPr>
        <w:tc>
          <w:tcPr>
            <w:tcW w:w="5979" w:type="dxa"/>
            <w:vMerge w:val="restart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8368" w:type="dxa"/>
            <w:gridSpan w:val="3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Значение, руб.</w:t>
            </w:r>
          </w:p>
        </w:tc>
      </w:tr>
      <w:tr w:rsidR="008605B2" w:rsidRPr="00D35403" w:rsidTr="00D35403">
        <w:trPr>
          <w:trHeight w:val="273"/>
        </w:trPr>
        <w:tc>
          <w:tcPr>
            <w:tcW w:w="5979" w:type="dxa"/>
            <w:vMerge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Первый год</w:t>
            </w:r>
          </w:p>
        </w:tc>
        <w:tc>
          <w:tcPr>
            <w:tcW w:w="3117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Второй год</w:t>
            </w:r>
          </w:p>
        </w:tc>
        <w:tc>
          <w:tcPr>
            <w:tcW w:w="2407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Третий год</w:t>
            </w:r>
          </w:p>
        </w:tc>
      </w:tr>
      <w:tr w:rsidR="008605B2" w:rsidRPr="00D35403" w:rsidTr="00D35403">
        <w:trPr>
          <w:trHeight w:val="566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Первоначальная (восстановительная) стоимость объе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к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та основных средств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</w:tr>
      <w:tr w:rsidR="008605B2" w:rsidRPr="00D35403" w:rsidTr="00D35403">
        <w:trPr>
          <w:trHeight w:val="273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</w:tr>
      <w:tr w:rsidR="008605B2" w:rsidRPr="00D35403" w:rsidTr="00D35403">
        <w:trPr>
          <w:trHeight w:val="54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Накопленная амортизация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60000 (с учетом 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переоценки)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90000</w:t>
            </w:r>
          </w:p>
        </w:tc>
      </w:tr>
      <w:tr w:rsidR="008605B2" w:rsidRPr="00D35403" w:rsidTr="00D35403">
        <w:trPr>
          <w:trHeight w:val="277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Себестоимость реализованной продукции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110000</w:t>
            </w:r>
          </w:p>
        </w:tc>
      </w:tr>
      <w:tr w:rsidR="008605B2" w:rsidRPr="00D35403" w:rsidTr="00D35403">
        <w:trPr>
          <w:trHeight w:val="273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Расходы периода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</w:tr>
      <w:tr w:rsidR="008605B2" w:rsidRPr="00D35403" w:rsidTr="00D35403">
        <w:trPr>
          <w:trHeight w:val="54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Сумма затрат и расходов, включаемая в дебет счета 90 «Продажи»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140000</w:t>
            </w:r>
          </w:p>
        </w:tc>
      </w:tr>
      <w:tr w:rsidR="008605B2" w:rsidRPr="00D35403" w:rsidTr="00D35403">
        <w:trPr>
          <w:trHeight w:val="283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Выручка-нетто от продажи продукции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180000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160000</w:t>
            </w:r>
          </w:p>
        </w:tc>
      </w:tr>
      <w:tr w:rsidR="008605B2" w:rsidRPr="00D35403" w:rsidTr="00D35403">
        <w:trPr>
          <w:trHeight w:val="415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Денежные средства, полученные от покупателей (50 % текущего и 50 % прошлого периодов)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75000 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75000+90000 = 165000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90000+80000=170000</w:t>
            </w:r>
          </w:p>
        </w:tc>
      </w:tr>
      <w:tr w:rsidR="008605B2" w:rsidRPr="00D35403" w:rsidTr="00D35403">
        <w:trPr>
          <w:trHeight w:val="565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Начисленный за период амортизационный фонд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20000*0,5 = 10000 руб.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20000*0,5 + 30000 * 0,5 = 25000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30000*0,5+30000*0,5 = 30000</w:t>
            </w:r>
          </w:p>
        </w:tc>
      </w:tr>
      <w:tr w:rsidR="008605B2" w:rsidRPr="00D35403" w:rsidTr="00D35403">
        <w:trPr>
          <w:trHeight w:val="13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Накопленная величина амортизационного фонда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35000 (10000 + 15000)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65000</w:t>
            </w:r>
          </w:p>
        </w:tc>
      </w:tr>
      <w:tr w:rsidR="008605B2" w:rsidRPr="00D35403" w:rsidTr="00D35403">
        <w:trPr>
          <w:trHeight w:val="13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Не включенная в амортизационный фонд сумма амо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тизации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31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240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</w:tbl>
    <w:p w:rsidR="008605B2" w:rsidRDefault="008605B2" w:rsidP="00714DAA">
      <w:pPr>
        <w:tabs>
          <w:tab w:val="left" w:pos="21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3D715C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3D715C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3D715C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3D715C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3D715C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6E6615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8605B2" w:rsidSect="004671B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8605B2" w:rsidRDefault="008605B2" w:rsidP="00355F46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оценить структуру финансирования воспроизводстве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процесса основных средств. При этом, необходимо указать, за счет каких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точников произошло увеличение основных средств (кассовый принцип):</w:t>
      </w:r>
    </w:p>
    <w:p w:rsidR="008605B2" w:rsidRPr="00811E48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</w:t>
      </w:r>
      <w:r w:rsidRPr="00811E48">
        <w:rPr>
          <w:rFonts w:ascii="Times New Roman" w:hAnsi="Times New Roman"/>
          <w:sz w:val="28"/>
          <w:szCs w:val="28"/>
        </w:rPr>
        <w:t>редств амортизационного фонда</w:t>
      </w:r>
      <w:r>
        <w:rPr>
          <w:rFonts w:ascii="Times New Roman" w:hAnsi="Times New Roman"/>
          <w:sz w:val="28"/>
          <w:szCs w:val="28"/>
        </w:rPr>
        <w:t>;</w:t>
      </w:r>
    </w:p>
    <w:p w:rsidR="008605B2" w:rsidRPr="00811E48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</w:t>
      </w:r>
      <w:r w:rsidRPr="00811E48">
        <w:rPr>
          <w:rFonts w:ascii="Times New Roman" w:hAnsi="Times New Roman"/>
          <w:sz w:val="28"/>
          <w:szCs w:val="28"/>
        </w:rPr>
        <w:t>огашенной кредиторской задолженности</w:t>
      </w:r>
      <w:r>
        <w:rPr>
          <w:rFonts w:ascii="Times New Roman" w:hAnsi="Times New Roman"/>
          <w:sz w:val="28"/>
          <w:szCs w:val="28"/>
        </w:rPr>
        <w:t>;</w:t>
      </w:r>
    </w:p>
    <w:p w:rsidR="008605B2" w:rsidRPr="00811E48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д</w:t>
      </w:r>
      <w:r w:rsidRPr="00811E48">
        <w:rPr>
          <w:rFonts w:ascii="Times New Roman" w:hAnsi="Times New Roman"/>
          <w:sz w:val="28"/>
          <w:szCs w:val="28"/>
        </w:rPr>
        <w:t xml:space="preserve">олгосрочных </w:t>
      </w:r>
      <w:r>
        <w:rPr>
          <w:rFonts w:ascii="Times New Roman" w:hAnsi="Times New Roman"/>
          <w:sz w:val="28"/>
          <w:szCs w:val="28"/>
        </w:rPr>
        <w:t xml:space="preserve">и краткосрочных </w:t>
      </w:r>
      <w:r w:rsidRPr="00811E48">
        <w:rPr>
          <w:rFonts w:ascii="Times New Roman" w:hAnsi="Times New Roman"/>
          <w:sz w:val="28"/>
          <w:szCs w:val="28"/>
        </w:rPr>
        <w:t>кредитов и займов</w:t>
      </w:r>
      <w:r>
        <w:rPr>
          <w:rFonts w:ascii="Times New Roman" w:hAnsi="Times New Roman"/>
          <w:sz w:val="28"/>
          <w:szCs w:val="28"/>
        </w:rPr>
        <w:t>;</w:t>
      </w:r>
    </w:p>
    <w:p w:rsidR="008605B2" w:rsidRPr="00811E48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</w:t>
      </w:r>
      <w:r w:rsidRPr="00811E48">
        <w:rPr>
          <w:rFonts w:ascii="Times New Roman" w:hAnsi="Times New Roman"/>
          <w:sz w:val="28"/>
          <w:szCs w:val="28"/>
        </w:rPr>
        <w:t>редств, полученных из бюджета</w:t>
      </w:r>
      <w:r>
        <w:rPr>
          <w:rFonts w:ascii="Times New Roman" w:hAnsi="Times New Roman"/>
          <w:sz w:val="28"/>
          <w:szCs w:val="28"/>
        </w:rPr>
        <w:t>;</w:t>
      </w:r>
    </w:p>
    <w:p w:rsidR="008605B2" w:rsidRPr="00811E48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д</w:t>
      </w:r>
      <w:r w:rsidRPr="00811E48">
        <w:rPr>
          <w:rFonts w:ascii="Times New Roman" w:hAnsi="Times New Roman"/>
          <w:sz w:val="28"/>
          <w:szCs w:val="28"/>
        </w:rPr>
        <w:t>ругих источников</w:t>
      </w:r>
      <w:r>
        <w:rPr>
          <w:rFonts w:ascii="Times New Roman" w:hAnsi="Times New Roman"/>
          <w:sz w:val="28"/>
          <w:szCs w:val="28"/>
        </w:rPr>
        <w:t>.</w:t>
      </w: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учетного регистра, применяемого для расчета амортиз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ционного фонда, отражена на рисунке 2.</w:t>
      </w: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Группа 116" o:spid="_x0000_s1026" style="position:absolute;left:0;text-align:left;margin-left:4.6pt;margin-top:5.4pt;width:459.15pt;height:366.1pt;z-index:251673088" coordsize="58310,41406">
            <v:shapetype id="_x0000_t113" coordsize="21600,21600" o:spt="113" path="m,l,21600r21600,l21600,xem4236,nfl4236,21600em,4236nfl21600,4236e">
              <v:stroke joinstyle="miter"/>
              <v:path o:extrusionok="f" gradientshapeok="t" o:connecttype="rect" textboxrect="4236,4236,21600,21600"/>
            </v:shapetype>
            <v:shape id="Блок-схема: внутренняя память 67" o:spid="_x0000_s1027" type="#_x0000_t113" style="position:absolute;left:6469;width:45462;height:3448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6848FD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848FD">
                      <w:rPr>
                        <w:rFonts w:ascii="Times New Roman" w:hAnsi="Times New Roman"/>
                        <w:sz w:val="24"/>
                        <w:szCs w:val="24"/>
                      </w:rPr>
                      <w:t>Дебиторская задолженность</w:t>
                    </w:r>
                  </w:p>
                </w:txbxContent>
              </v:textbox>
            </v:shape>
            <v:rect id="Прямоугольник 74" o:spid="_x0000_s1028" style="position:absolute;left:29243;top:4054;width:22689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>по периодам</w:t>
                    </w:r>
                  </w:p>
                </w:txbxContent>
              </v:textbox>
            </v:rect>
            <v:rect id="Прямоугольник 75" o:spid="_x0000_s1029" style="position:absolute;left:6556;top:4054;width:22687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контрагентам</w:t>
                    </w:r>
                  </w:p>
                </w:txbxContent>
              </v:textbox>
            </v:rect>
            <v:shape id="Блок-схема: внутренняя память 76" o:spid="_x0000_s1030" type="#_x0000_t113" style="position:absolute;left:6469;top:8453;width:45463;height:3448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6848FD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Инкассация д</w:t>
                    </w:r>
                    <w:r w:rsidRPr="006848FD">
                      <w:rPr>
                        <w:rFonts w:ascii="Times New Roman" w:hAnsi="Times New Roman"/>
                        <w:sz w:val="24"/>
                        <w:szCs w:val="24"/>
                      </w:rPr>
                      <w:t>ебиторск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ой</w:t>
                    </w:r>
                    <w:r w:rsidRPr="006848FD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задолженност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</w:p>
                </w:txbxContent>
              </v:textbox>
            </v:shape>
            <v:rect id="Прямоугольник 77" o:spid="_x0000_s1031" style="position:absolute;left:6642;top:12508;width:13284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контрагентам</w:t>
                    </w:r>
                  </w:p>
                </w:txbxContent>
              </v:textbox>
            </v:rect>
            <v:rect id="Прямоугольник 78" o:spid="_x0000_s1032" style="position:absolute;left:19927;top:12594;width:12077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>по периодам</w:t>
                    </w:r>
                  </w:p>
                </w:txbxContent>
              </v:textbox>
            </v:rect>
            <v:rect id="Прямоугольник 79" o:spid="_x0000_s1033" style="position:absolute;left:32004;top:12508;width:19925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 стоимостном выражении</w:t>
                    </w:r>
                  </w:p>
                </w:txbxContent>
              </v:textbox>
            </v:rect>
            <v:rect id="Прямоугольник 80" o:spid="_x0000_s1034" style="position:absolute;left:13198;top:15700;width:31559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 процентах от общей суммы задолженности</w:t>
                    </w:r>
                  </w:p>
                </w:txbxContent>
              </v:textbox>
            </v:rect>
            <v:rect id="Прямоугольник 81" o:spid="_x0000_s1035" style="position:absolute;left:29243;top:24412;width:22421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>по периодам</w:t>
                    </w:r>
                  </w:p>
                </w:txbxContent>
              </v:textbox>
            </v:rect>
            <v:shape id="Блок-схема: внутренняя память 82" o:spid="_x0000_s1036" type="#_x0000_t113" style="position:absolute;left:6642;top:20272;width:45290;height:3448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6848FD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Начисленная амортизация</w:t>
                    </w:r>
                  </w:p>
                </w:txbxContent>
              </v:textbox>
            </v:shape>
            <v:rect id="Прямоугольник 83" o:spid="_x0000_s1037" style="position:absolute;left:6469;top:24412;width:22769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объектам</w:t>
                    </w:r>
                  </w:p>
                </w:txbxContent>
              </v:textbox>
            </v:rect>
            <v:shape id="Блок-схема: внутренняя память 84" o:spid="_x0000_s1038" type="#_x0000_t113" style="position:absolute;left:6469;top:28812;width:45190;height:3448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6848FD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Амортизационный фонд</w:t>
                    </w:r>
                  </w:p>
                </w:txbxContent>
              </v:textbox>
            </v:shape>
            <v:rect id="Прямоугольник 85" o:spid="_x0000_s1039" style="position:absolute;left:6211;top:33211;width:23550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объектам</w:t>
                    </w:r>
                  </w:p>
                </w:txbxContent>
              </v:textbox>
            </v:rect>
            <v:rect id="Прямоугольник 86" o:spid="_x0000_s1040" style="position:absolute;left:29761;top:33125;width:21895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F720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периодам</w:t>
                    </w:r>
                  </w:p>
                </w:txbxContent>
              </v:textbox>
            </v:rect>
            <v:rect id="Прямоугольник 87" o:spid="_x0000_s1041" style="position:absolute;left:15268;top:36576;width:30360;height:3105;visibility:visible;v-text-anchor:middle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8605B2" w:rsidRPr="001F720A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накопленная величина</w:t>
                    </w:r>
                  </w:p>
                </w:txbxContent>
              </v:textbox>
            </v:rect>
            <v:rect id="Прямоугольник 88" o:spid="_x0000_s1042" style="position:absolute;width:4222;height:41406;visibility:visible;v-text-anchor:middle" strokecolor="#f79646" strokeweight="2pt">
              <v:textbox style="layout-flow:vertical;mso-layout-flow-alt:bottom-to-top" inset=",0,,0">
                <w:txbxContent>
                  <w:p w:rsidR="008605B2" w:rsidRPr="00AF0C87" w:rsidRDefault="008605B2" w:rsidP="00811E48">
                    <w:pPr>
                      <w:jc w:val="center"/>
                      <w:rPr>
                        <w:rFonts w:ascii="Times New Roman" w:hAnsi="Times New Roman"/>
                        <w:sz w:val="8"/>
                        <w:szCs w:val="8"/>
                      </w:rPr>
                    </w:pPr>
                  </w:p>
                  <w:p w:rsidR="008605B2" w:rsidRPr="00E816A0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E816A0">
                      <w:rPr>
                        <w:rFonts w:ascii="Times New Roman" w:hAnsi="Times New Roman"/>
                        <w:sz w:val="24"/>
                        <w:szCs w:val="24"/>
                      </w:rPr>
                      <w:t>ИНФОРМАЦИОННЫЕ БЛОКИ</w:t>
                    </w:r>
                  </w:p>
                </w:txbxContent>
              </v:textbox>
            </v:rect>
            <v:rect id="Прямоугольник 89" o:spid="_x0000_s1043" style="position:absolute;left:54087;width:4223;height:41402;visibility:visible;v-text-anchor:middle" strokecolor="#f79646" strokeweight="2pt">
              <v:textbox style="layout-flow:vertical;mso-layout-flow-alt:bottom-to-top" inset=",0,,0">
                <w:txbxContent>
                  <w:p w:rsidR="008605B2" w:rsidRPr="00AF0C87" w:rsidRDefault="008605B2" w:rsidP="00811E48">
                    <w:pPr>
                      <w:jc w:val="center"/>
                      <w:rPr>
                        <w:rFonts w:ascii="Times New Roman" w:hAnsi="Times New Roman"/>
                        <w:sz w:val="8"/>
                        <w:szCs w:val="8"/>
                      </w:rPr>
                    </w:pPr>
                  </w:p>
                  <w:p w:rsidR="008605B2" w:rsidRPr="00E816A0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АНАЛИТИКА</w:t>
                    </w:r>
                  </w:p>
                </w:txbxContent>
              </v:textbox>
            </v:rect>
            <v:line id="Прямая соединительная линия 90" o:spid="_x0000_s1044" style="position:absolute;visibility:visible" from="4226,19668" to="5179,19668" o:connectortype="straight" strokeweight="3pt">
              <v:shadow on="t" color="black" opacity="22937f" origin=",.5" offset="0,.63889mm"/>
            </v:line>
            <v:line id="Прямая соединительная линия 104" o:spid="_x0000_s1045" style="position:absolute;visibility:visible" from="5175,1725" to="5175,30706" o:connectortype="straight" strokeweight="2pt">
              <v:shadow on="t" color="black" opacity="24903f" origin=",.5" offset="0,.55556mm"/>
            </v:line>
            <v:line id="Прямая соединительная линия 105" o:spid="_x0000_s1046" style="position:absolute;visibility:visible" from="5175,1725" to="6556,1725" o:connectortype="straight" strokeweight="2pt">
              <v:shadow on="t" color="black" opacity="24903f" origin=",.5" offset="0,.55556mm"/>
            </v:line>
            <v:line id="Прямая соединительная линия 106" o:spid="_x0000_s1047" style="position:absolute;visibility:visible" from="5089,10437" to="6467,10437" o:connectortype="straight" strokeweight="2pt">
              <v:shadow on="t" color="black" opacity="24903f" origin=",.5" offset="0,.55556mm"/>
            </v:line>
            <v:line id="Прямая соединительная линия 107" o:spid="_x0000_s1048" style="position:absolute;visibility:visible" from="5175,22256" to="6553,22256" o:connectortype="straight" strokeweight="2pt">
              <v:shadow on="t" color="black" opacity="24903f" origin=",.5" offset="0,.55556mm"/>
            </v:line>
            <v:line id="Прямая соединительная линия 108" o:spid="_x0000_s1049" style="position:absolute;visibility:visible" from="5089,30710" to="6467,30710" o:connectortype="straight" strokeweight="2pt">
              <v:shadow on="t" color="black" opacity="24903f" origin=",.5" offset="0,.55556mm"/>
            </v:line>
            <v:line id="Прямая соединительная линия 109" o:spid="_x0000_s1050" style="position:absolute;visibility:visible" from="51931,5434" to="53308,5434" o:connectortype="straight" strokeweight="2pt">
              <v:shadow on="t" color="black" opacity="24903f" origin=",.5" offset="0,.55556mm"/>
            </v:line>
            <v:line id="Прямая соединительная линия 110" o:spid="_x0000_s1051" style="position:absolute;visibility:visible" from="51931,14406" to="53308,14406" o:connectortype="straight" strokeweight="2pt">
              <v:shadow on="t" color="black" opacity="24903f" origin=",.5" offset="0,.55556mm"/>
            </v:line>
            <v:line id="Прямая соединительная линия 111" o:spid="_x0000_s1052" style="position:absolute;visibility:visible" from="51672,26396" to="53050,26396" o:connectortype="straight" strokeweight="2pt">
              <v:shadow on="t" color="black" opacity="24903f" origin=",.5" offset="0,.55556mm"/>
            </v:line>
            <v:line id="Прямая соединительная линия 112" o:spid="_x0000_s1053" style="position:absolute;visibility:visible" from="51672,34850" to="53050,34850" o:connectortype="straight" strokeweight="2pt">
              <v:shadow on="t" color="black" opacity="24903f" origin=",.5" offset="0,.55556mm"/>
            </v:line>
            <v:line id="Прямая соединительная линия 114" o:spid="_x0000_s1054" style="position:absolute;visibility:visible" from="53138,20272" to="54091,20272" o:connectortype="straight" strokeweight="3pt">
              <v:shadow on="t" color="black" opacity="22937f" origin=",.5" offset="0,.63889mm"/>
            </v:line>
          </v:group>
        </w:pict>
      </w: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13" o:spid="_x0000_s1055" style="position:absolute;left:0;text-align:left;flip:x;z-index:251672064;visibility:visible" from="422.3pt,5.7pt" to="425pt,265.6pt" strokeweight="2pt">
            <v:shadow on="t" color="black" opacity="24903f" origin=",.5" offset="0,.55556mm"/>
          </v:line>
        </w:pict>
      </w: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11E48">
      <w:pPr>
        <w:tabs>
          <w:tab w:val="left" w:pos="216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 Учетный регистр «Расчет амортизационного фонда» при линейном способе начисления амортизации</w:t>
      </w:r>
    </w:p>
    <w:p w:rsidR="008605B2" w:rsidRDefault="008605B2" w:rsidP="001836D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Заполненный учетный регистр представлен в таблице 3.</w:t>
      </w:r>
    </w:p>
    <w:p w:rsidR="008605B2" w:rsidRDefault="008605B2" w:rsidP="001836D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Очевидно, что амортизационный фонд может содержать аналитику не только по группам основных средств, но и по характеру воспроизводс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процесса (рисунок 3).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Группа 150" o:spid="_x0000_s1056" style="position:absolute;left:0;text-align:left;margin-left:-3.55pt;margin-top:19.9pt;width:465.95pt;height:151.45pt;z-index:251683328" coordsize="59176,19232">
            <v:roundrect id="Скругленный прямоугольник 156" o:spid="_x0000_s1057" style="position:absolute;width:22860;height:5429;visibility:visible;v-text-anchor:middle" arcsize="10923f" strokeweight="2pt">
              <v:stroke linestyle="thinThick" endcap="round"/>
              <v:textbox>
                <w:txbxContent>
                  <w:p w:rsidR="008605B2" w:rsidRPr="00A90CAD" w:rsidRDefault="008605B2" w:rsidP="00811E48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90CAD">
                      <w:rPr>
                        <w:rFonts w:ascii="Times New Roman" w:hAnsi="Times New Roman"/>
                        <w:sz w:val="24"/>
                        <w:szCs w:val="24"/>
                      </w:rPr>
                      <w:t>Группы основных средств</w:t>
                    </w:r>
                  </w:p>
                </w:txbxContent>
              </v:textbox>
            </v:roundrect>
            <v:roundrect id="Скругленный прямоугольник 158" o:spid="_x0000_s1058" style="position:absolute;left:431;top:6124;width:22428;height:3791;visibility:visible;v-text-anchor:middle" arcsize="10923f" fillcolor="gray">
              <v:fill color2="#d9d9d9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8605B2" w:rsidRPr="00A90CAD" w:rsidRDefault="008605B2" w:rsidP="009B4DE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90CAD">
                      <w:rPr>
                        <w:rFonts w:ascii="Times New Roman" w:hAnsi="Times New Roman"/>
                        <w:sz w:val="24"/>
                        <w:szCs w:val="24"/>
                      </w:rPr>
                      <w:t>Здания, сооружения</w:t>
                    </w:r>
                  </w:p>
                </w:txbxContent>
              </v:textbox>
            </v:roundrect>
            <v:roundrect id="Скругленный прямоугольник 160" o:spid="_x0000_s1059" style="position:absolute;left:431;top:10524;width:22428;height:3791;visibility:visible;v-text-anchor:middle" arcsize="10923f" fillcolor="gray">
              <v:fill color2="#d9d9d9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8605B2" w:rsidRPr="00A90CAD" w:rsidRDefault="008605B2" w:rsidP="009B4DE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Машины, оборудование</w:t>
                    </w:r>
                  </w:p>
                </w:txbxContent>
              </v:textbox>
            </v:roundrect>
            <v:roundrect id="Скругленный прямоугольник 161" o:spid="_x0000_s1060" style="position:absolute;left:431;top:15441;width:22428;height:3791;visibility:visible;v-text-anchor:middle" arcsize="10923f" fillcolor="gray">
              <v:fill color2="#d9d9d9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8605B2" w:rsidRPr="00A90CAD" w:rsidRDefault="008605B2" w:rsidP="009B4DE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Другие виды</w:t>
                    </w:r>
                  </w:p>
                </w:txbxContent>
              </v:textbox>
            </v:roundrect>
            <v:roundrect id="Скругленный прямоугольник 162" o:spid="_x0000_s1061" style="position:absolute;left:36748;top:6038;width:22428;height:3791;visibility:visible;v-text-anchor:middle" arcsize="10923f" fillcolor="gray">
              <v:fill color2="#d9d9d9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8605B2" w:rsidRPr="00A90CAD" w:rsidRDefault="008605B2" w:rsidP="009B4DE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Приобретение, строительство</w:t>
                    </w:r>
                  </w:p>
                </w:txbxContent>
              </v:textbox>
            </v:roundrect>
            <v:roundrect id="Скругленный прямоугольник 163" o:spid="_x0000_s1062" style="position:absolute;left:36748;top:10610;width:22428;height:3791;visibility:visible;v-text-anchor:middle" arcsize="10923f" fillcolor="gray">
              <v:fill color2="#d9d9d9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8605B2" w:rsidRPr="00A90CAD" w:rsidRDefault="008605B2" w:rsidP="009B4DE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Модернизация, реконструкция</w:t>
                    </w:r>
                  </w:p>
                </w:txbxContent>
              </v:textbox>
            </v:roundrect>
            <v:roundrect id="Скругленный прямоугольник 164" o:spid="_x0000_s1063" style="position:absolute;left:36748;top:15182;width:22428;height:3791;visibility:visible;v-text-anchor:middle" arcsize="10923f" fillcolor="gray">
              <v:fill color2="#d9d9d9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8605B2" w:rsidRPr="00A90CAD" w:rsidRDefault="008605B2" w:rsidP="009B4DE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Другие формы</w:t>
                    </w:r>
                  </w:p>
                </w:txbxContent>
              </v:textbox>
            </v:roundrect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Двойная стрелка влево/вправо 174" o:spid="_x0000_s1064" type="#_x0000_t69" style="position:absolute;left:23722;top:2760;width:11818;height:1035;visibility:visible;v-text-anchor:middle" adj="946" fillcolor="#4f81bd" strokecolor="#243f60" strokeweight="2pt"/>
          </v:group>
        </w:pict>
      </w:r>
      <w:r>
        <w:rPr>
          <w:noProof/>
          <w:lang w:eastAsia="ru-RU"/>
        </w:rPr>
        <w:pict>
          <v:roundrect id="Скругленный прямоугольник 157" o:spid="_x0000_s1065" style="position:absolute;left:0;text-align:left;margin-left:285.7pt;margin-top:18.45pt;width:173.8pt;height:42.75pt;z-index:251671040;visibility:visible;v-text-anchor:middle" arcsize="10923f" strokeweight="2pt">
            <v:textbox>
              <w:txbxContent>
                <w:p w:rsidR="008605B2" w:rsidRPr="00A90CAD" w:rsidRDefault="008605B2" w:rsidP="00E3349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Характер воспроизводстве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ного процесса</w:t>
                  </w:r>
                </w:p>
              </w:txbxContent>
            </v:textbox>
          </v:roundrect>
        </w:pict>
      </w:r>
    </w:p>
    <w:p w:rsidR="008605B2" w:rsidRDefault="008605B2" w:rsidP="009B4DE7">
      <w:pPr>
        <w:tabs>
          <w:tab w:val="left" w:pos="21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71" o:spid="_x0000_s1066" style="position:absolute;left:0;text-align:left;flip:y;z-index:251680256;visibility:visible" from="175.75pt,11.45pt" to="285.05pt,83.45pt" strokeweight="2pt">
            <v:stroke dashstyle="dash"/>
          </v:line>
        </w:pict>
      </w:r>
      <w:r>
        <w:rPr>
          <w:noProof/>
          <w:lang w:eastAsia="ru-RU"/>
        </w:rPr>
        <w:pict>
          <v:line id="Прямая соединительная линия 170" o:spid="_x0000_s1067" style="position:absolute;left:0;text-align:left;flip:y;z-index:251679232;visibility:visible" from="176.45pt,11.45pt" to="285.7pt,44.05pt" strokeweight="2pt">
            <v:stroke dashstyle="longDash"/>
          </v:line>
        </w:pict>
      </w:r>
      <w:r>
        <w:rPr>
          <w:noProof/>
          <w:lang w:eastAsia="ru-RU"/>
        </w:rPr>
        <w:pict>
          <v:line id="Прямая соединительная линия 167" o:spid="_x0000_s1068" style="position:absolute;left:0;text-align:left;z-index:251676160;visibility:visible" from="176.45pt,7.4pt" to="285.8pt,45.4pt" strokeweight="1.5pt">
            <v:stroke dashstyle="1 1"/>
          </v:line>
        </w:pict>
      </w:r>
      <w:r>
        <w:rPr>
          <w:noProof/>
          <w:lang w:eastAsia="ru-RU"/>
        </w:rPr>
        <w:pict>
          <v:line id="Прямая соединительная линия 166" o:spid="_x0000_s1069" style="position:absolute;left:0;text-align:left;z-index:251675136;visibility:visible" from="176.45pt,7.4pt" to="285.8pt,11.5pt" strokeweight="1.5pt">
            <v:stroke dashstyle="1 1"/>
          </v:line>
        </w:pict>
      </w:r>
      <w:r>
        <w:rPr>
          <w:noProof/>
          <w:lang w:eastAsia="ru-RU"/>
        </w:rPr>
        <w:pict>
          <v:line id="Прямая соединительная линия 165" o:spid="_x0000_s1070" style="position:absolute;left:0;text-align:left;z-index:251674112;visibility:visible" from="176.45pt,8.1pt" to="285.8pt,83.5pt" strokeweight="1.5pt">
            <v:stroke dashstyle="1 1"/>
          </v:line>
        </w:pic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72" o:spid="_x0000_s1071" style="position:absolute;left:0;text-align:left;flip:y;z-index:251681280;visibility:visible" from="175.75pt,21.25pt" to="285.05pt,59.25pt" strokeweight="2pt">
            <v:stroke dashstyle="dash"/>
          </v:line>
        </w:pict>
      </w:r>
      <w:r>
        <w:rPr>
          <w:noProof/>
          <w:lang w:eastAsia="ru-RU"/>
        </w:rPr>
        <w:pict>
          <v:line id="Прямая соединительная линия 169" o:spid="_x0000_s1072" style="position:absolute;left:0;text-align:left;z-index:251678208;visibility:visible" from="176.45pt,19.95pt" to="285.8pt,21.3pt" strokeweight="2pt">
            <v:stroke dashstyle="longDash"/>
          </v:line>
        </w:pict>
      </w:r>
      <w:r>
        <w:rPr>
          <w:noProof/>
          <w:lang w:eastAsia="ru-RU"/>
        </w:rPr>
        <w:pict>
          <v:line id="Прямая соединительная линия 168" o:spid="_x0000_s1073" style="position:absolute;left:0;text-align:left;z-index:251677184;visibility:visible" from="176.45pt,19.95pt" to="285.75pt,59.3pt" strokeweight="2pt">
            <v:stroke dashstyle="longDash"/>
          </v:line>
        </w:pic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73" o:spid="_x0000_s1074" style="position:absolute;left:0;text-align:left;z-index:251682304;visibility:visible" from="175.8pt,11pt" to="285.1pt,11pt" strokeweight="2pt">
            <v:stroke dashstyle="dash"/>
          </v:line>
        </w:pict>
      </w:r>
    </w:p>
    <w:p w:rsidR="008605B2" w:rsidRDefault="008605B2" w:rsidP="009B4DE7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3– Аналитика по воспроизводству основных средств</w:t>
      </w:r>
    </w:p>
    <w:p w:rsidR="008605B2" w:rsidRDefault="008605B2" w:rsidP="009B4D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III «Расчет амортизационного фонда при способе </w:t>
      </w:r>
      <w:r w:rsidRPr="00233F1A">
        <w:rPr>
          <w:rStyle w:val="blk"/>
          <w:rFonts w:ascii="Times New Roman" w:hAnsi="Times New Roman"/>
          <w:sz w:val="28"/>
          <w:szCs w:val="28"/>
        </w:rPr>
        <w:t>списания стоимости пропорционально объему продукции (работ)</w:t>
      </w:r>
      <w:r>
        <w:rPr>
          <w:rStyle w:val="blk"/>
          <w:rFonts w:ascii="Times New Roman" w:hAnsi="Times New Roman"/>
          <w:sz w:val="28"/>
          <w:szCs w:val="28"/>
        </w:rPr>
        <w:t>».</w:t>
      </w:r>
    </w:p>
    <w:p w:rsidR="008605B2" w:rsidRDefault="008605B2" w:rsidP="009B4D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Рассмотрим условный цифровой пример, иллюстрирующий форм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рование амортизационного фонда по основным средствам, амортизиру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мым по способу </w:t>
      </w:r>
      <w:r w:rsidRPr="00233F1A">
        <w:rPr>
          <w:rStyle w:val="blk"/>
          <w:rFonts w:ascii="Times New Roman" w:hAnsi="Times New Roman"/>
          <w:sz w:val="28"/>
          <w:szCs w:val="28"/>
        </w:rPr>
        <w:t>списания стоимости пропорционально объему продукции (работ)</w:t>
      </w:r>
      <w:r>
        <w:rPr>
          <w:rFonts w:ascii="Times New Roman" w:hAnsi="Times New Roman"/>
          <w:sz w:val="28"/>
          <w:szCs w:val="28"/>
          <w:lang w:eastAsia="ru-RU"/>
        </w:rPr>
        <w:t>. Объект основных средств стоимостью 100000 руб. со сроком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лезного использования 5 лет, оборудование рассчитано на 50000 ед. изд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лий. Амортизация начисляется  по способу списания стоимости пропо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ционально объему продукции (работ). В первый год произведено 10000 ед., во второй – 20000 ед., в третий – 15000 ед. На второй год произведена  переоценка с коэффиц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ентом 1,5. </w:t>
      </w:r>
    </w:p>
    <w:p w:rsidR="008605B2" w:rsidRDefault="008605B2" w:rsidP="009B4D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Себестоимости произведенной продукции составила: первый год – 120000 руб.; второй год – 135000 руб.; третий год – 105000 руб.</w:t>
      </w:r>
    </w:p>
    <w:p w:rsidR="008605B2" w:rsidRDefault="008605B2" w:rsidP="009B4DE7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Себестоимость реализованной продукции: в первый год – 100000 руб.; во второй – 120000 руб.; в третий – 110000 руб. </w:t>
      </w:r>
    </w:p>
    <w:p w:rsidR="008605B2" w:rsidRDefault="008605B2" w:rsidP="006E6615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8605B2" w:rsidSect="004671B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8605B2" w:rsidRDefault="008605B2" w:rsidP="00BE0815">
      <w:pPr>
        <w:tabs>
          <w:tab w:val="left" w:pos="21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 Учетный регистр, применяемый для расчета величины амортизационного фонда</w:t>
      </w:r>
      <w:r w:rsidRPr="006C35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(линейный способ </w:t>
      </w:r>
    </w:p>
    <w:p w:rsidR="008605B2" w:rsidRDefault="008605B2" w:rsidP="00BE0815">
      <w:pPr>
        <w:tabs>
          <w:tab w:val="left" w:pos="21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начисления амортизации)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6"/>
        <w:gridCol w:w="1543"/>
        <w:gridCol w:w="1559"/>
        <w:gridCol w:w="1418"/>
        <w:gridCol w:w="1417"/>
        <w:gridCol w:w="1418"/>
        <w:gridCol w:w="1276"/>
        <w:gridCol w:w="1275"/>
        <w:gridCol w:w="1276"/>
        <w:gridCol w:w="1134"/>
        <w:gridCol w:w="1276"/>
      </w:tblGrid>
      <w:tr w:rsidR="008605B2" w:rsidRPr="00D35403" w:rsidTr="00D35403">
        <w:tc>
          <w:tcPr>
            <w:tcW w:w="3085" w:type="dxa"/>
            <w:gridSpan w:val="3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Дебиторская задолже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н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ность, руб.</w:t>
            </w:r>
          </w:p>
        </w:tc>
        <w:tc>
          <w:tcPr>
            <w:tcW w:w="2977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Денежные средства, пол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у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ченные в погашение деб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и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торской задолженности, руб.</w:t>
            </w:r>
          </w:p>
        </w:tc>
        <w:tc>
          <w:tcPr>
            <w:tcW w:w="2835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Процент инкассации з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а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долженности покупат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лей, руб.</w:t>
            </w:r>
          </w:p>
        </w:tc>
        <w:tc>
          <w:tcPr>
            <w:tcW w:w="2551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Начисленная аморт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и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зация, руб.</w:t>
            </w:r>
          </w:p>
        </w:tc>
        <w:tc>
          <w:tcPr>
            <w:tcW w:w="2410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Амортизационный фонд, начисленный по амортизации…, руб.</w:t>
            </w:r>
          </w:p>
        </w:tc>
        <w:tc>
          <w:tcPr>
            <w:tcW w:w="1276" w:type="dxa"/>
            <w:vMerge w:val="restart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Наколе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н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ная вел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и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чина амо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тизацио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н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фонда</w:t>
            </w:r>
          </w:p>
        </w:tc>
      </w:tr>
      <w:tr w:rsidR="008605B2" w:rsidRPr="00D35403" w:rsidTr="00D35403">
        <w:trPr>
          <w:trHeight w:val="838"/>
        </w:trPr>
        <w:tc>
          <w:tcPr>
            <w:tcW w:w="1542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прошлых лет</w:t>
            </w:r>
          </w:p>
        </w:tc>
        <w:tc>
          <w:tcPr>
            <w:tcW w:w="1543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55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прошлых лет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прошлых лет (дон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а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числение)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за пр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шлый год</w:t>
            </w:r>
          </w:p>
        </w:tc>
        <w:tc>
          <w:tcPr>
            <w:tcW w:w="127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за отче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 xml:space="preserve">ный год 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прошлых лет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276" w:type="dxa"/>
            <w:vMerge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5B2" w:rsidRPr="00D35403" w:rsidTr="00D35403">
        <w:tc>
          <w:tcPr>
            <w:tcW w:w="15134" w:type="dxa"/>
            <w:gridSpan w:val="12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I год</w:t>
            </w:r>
          </w:p>
        </w:tc>
      </w:tr>
      <w:tr w:rsidR="008605B2" w:rsidRPr="00D35403" w:rsidTr="00D35403">
        <w:tc>
          <w:tcPr>
            <w:tcW w:w="152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  <w:tc>
          <w:tcPr>
            <w:tcW w:w="155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75000</w:t>
            </w:r>
          </w:p>
        </w:tc>
        <w:tc>
          <w:tcPr>
            <w:tcW w:w="14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8605B2" w:rsidRPr="00D35403" w:rsidTr="00D35403">
        <w:tc>
          <w:tcPr>
            <w:tcW w:w="15134" w:type="dxa"/>
            <w:gridSpan w:val="1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II год</w:t>
            </w:r>
          </w:p>
        </w:tc>
      </w:tr>
      <w:tr w:rsidR="008605B2" w:rsidRPr="00D35403" w:rsidTr="00D35403">
        <w:tc>
          <w:tcPr>
            <w:tcW w:w="152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75000</w:t>
            </w:r>
          </w:p>
        </w:tc>
        <w:tc>
          <w:tcPr>
            <w:tcW w:w="1559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180000</w:t>
            </w:r>
          </w:p>
        </w:tc>
        <w:tc>
          <w:tcPr>
            <w:tcW w:w="155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75000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90000</w:t>
            </w:r>
          </w:p>
        </w:tc>
        <w:tc>
          <w:tcPr>
            <w:tcW w:w="14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127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276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35000</w:t>
            </w:r>
          </w:p>
        </w:tc>
      </w:tr>
      <w:tr w:rsidR="008605B2" w:rsidRPr="00D35403" w:rsidTr="00D35403">
        <w:tc>
          <w:tcPr>
            <w:tcW w:w="15134" w:type="dxa"/>
            <w:gridSpan w:val="1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III год</w:t>
            </w:r>
          </w:p>
        </w:tc>
      </w:tr>
      <w:tr w:rsidR="008605B2" w:rsidRPr="00D35403" w:rsidTr="00D35403">
        <w:tc>
          <w:tcPr>
            <w:tcW w:w="152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90000</w:t>
            </w:r>
          </w:p>
        </w:tc>
        <w:tc>
          <w:tcPr>
            <w:tcW w:w="1559" w:type="dxa"/>
            <w:gridSpan w:val="2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160000</w:t>
            </w:r>
          </w:p>
        </w:tc>
        <w:tc>
          <w:tcPr>
            <w:tcW w:w="155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90000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80000</w:t>
            </w:r>
          </w:p>
        </w:tc>
        <w:tc>
          <w:tcPr>
            <w:tcW w:w="1417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27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276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276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65000</w:t>
            </w:r>
          </w:p>
        </w:tc>
      </w:tr>
    </w:tbl>
    <w:p w:rsidR="008605B2" w:rsidRDefault="008605B2" w:rsidP="006E6615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8605B2" w:rsidSect="004671B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8605B2" w:rsidRDefault="008605B2" w:rsidP="006C35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Выручка-нетто от продажи составляет за первый год – 150000 руб., за второй – 180000 руб., в третий – 160000 руб.Продукция покупателей о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лачивается, исходя из соотношения: 50 % в отчетном периоде; 50 % в п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риоде, следующим за отчетным.  </w:t>
      </w:r>
      <w:r>
        <w:rPr>
          <w:rFonts w:ascii="Times New Roman" w:hAnsi="Times New Roman"/>
          <w:sz w:val="28"/>
          <w:szCs w:val="28"/>
        </w:rPr>
        <w:t>Амортизационные отчисления составили:</w:t>
      </w:r>
    </w:p>
    <w:p w:rsidR="008605B2" w:rsidRDefault="008605B2" w:rsidP="004D61FA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 первый год – 100000/50000*10000= 20000 руб.;</w:t>
      </w:r>
    </w:p>
    <w:p w:rsidR="008605B2" w:rsidRDefault="008605B2" w:rsidP="004D61FA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во второй год – 150000/50000*20000 = 60000 руб.;</w:t>
      </w:r>
    </w:p>
    <w:p w:rsidR="008605B2" w:rsidRDefault="008605B2" w:rsidP="004D61FA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 третий год – 150000/50000*15000 = 45000 руб.</w:t>
      </w:r>
    </w:p>
    <w:p w:rsidR="008605B2" w:rsidRDefault="008605B2" w:rsidP="004D61FA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амортизация основных средств, рассчитанная по способу списания пропорционально объему продукции (работ) включается в затр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ты периода, то необходимо найти соотношения между себестоимостью произв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денной и реализованной продукции (таблица 4).</w:t>
      </w:r>
    </w:p>
    <w:p w:rsidR="008605B2" w:rsidRDefault="008605B2" w:rsidP="004249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величины накопленного амортизационного фонда и суммы, не включенной в амортизационный фонд суммы амортизации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растающим итогом, имеют некоторую погрешность, вызванную округл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нием. Накопленная величина амортизационного фонда должна составить 16667 + 53334 + 22500 + 833/2 = 92918 руб. Не включенная в амортизац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онный фонд сумма амортизации нарастающим итогом: 125000 – 92918 = 32082 руб.Таким образом, получаем следующую информацию о величине начи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ленного амортизационного фонда и амортизации, не включенной в амортиз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ционный фонд (таблица 5).</w:t>
      </w:r>
    </w:p>
    <w:p w:rsidR="008605B2" w:rsidRDefault="008605B2" w:rsidP="004249C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 – Информация о величине амортизационного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3"/>
        <w:gridCol w:w="992"/>
        <w:gridCol w:w="993"/>
        <w:gridCol w:w="1134"/>
        <w:gridCol w:w="1098"/>
      </w:tblGrid>
      <w:tr w:rsidR="008605B2" w:rsidRPr="00D35403" w:rsidTr="00D35403">
        <w:tc>
          <w:tcPr>
            <w:tcW w:w="5353" w:type="dxa"/>
            <w:vMerge w:val="restart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217" w:type="dxa"/>
            <w:gridSpan w:val="4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Значение, руб.</w:t>
            </w:r>
          </w:p>
        </w:tc>
      </w:tr>
      <w:tr w:rsidR="008605B2" w:rsidRPr="00D35403" w:rsidTr="00D35403">
        <w:tc>
          <w:tcPr>
            <w:tcW w:w="5353" w:type="dxa"/>
            <w:vMerge/>
          </w:tcPr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I год</w:t>
            </w:r>
          </w:p>
        </w:tc>
        <w:tc>
          <w:tcPr>
            <w:tcW w:w="993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II год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III год</w:t>
            </w:r>
          </w:p>
        </w:tc>
        <w:tc>
          <w:tcPr>
            <w:tcW w:w="1098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</w:tr>
      <w:tr w:rsidR="008605B2" w:rsidRPr="00D35403" w:rsidTr="00D35403">
        <w:tc>
          <w:tcPr>
            <w:tcW w:w="5353" w:type="dxa"/>
          </w:tcPr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 Амортизация, относящаяся к реализованной продукции</w:t>
            </w:r>
          </w:p>
        </w:tc>
        <w:tc>
          <w:tcPr>
            <w:tcW w:w="992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16667</w:t>
            </w:r>
          </w:p>
        </w:tc>
        <w:tc>
          <w:tcPr>
            <w:tcW w:w="993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53333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45833 </w:t>
            </w:r>
          </w:p>
        </w:tc>
        <w:tc>
          <w:tcPr>
            <w:tcW w:w="1098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115833</w:t>
            </w:r>
          </w:p>
        </w:tc>
      </w:tr>
      <w:tr w:rsidR="008605B2" w:rsidRPr="00D35403" w:rsidTr="00D35403">
        <w:tc>
          <w:tcPr>
            <w:tcW w:w="5353" w:type="dxa"/>
          </w:tcPr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 Амортизация по оплаченной продукции (вкл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ю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ченная в амортизационный фонд):</w:t>
            </w:r>
          </w:p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– отчетного года</w:t>
            </w:r>
          </w:p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– нарастающим итогом</w:t>
            </w:r>
          </w:p>
        </w:tc>
        <w:tc>
          <w:tcPr>
            <w:tcW w:w="992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8334</w:t>
            </w: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8334</w:t>
            </w:r>
          </w:p>
        </w:tc>
        <w:tc>
          <w:tcPr>
            <w:tcW w:w="993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35001</w:t>
            </w: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43335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49584</w:t>
            </w: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92919</w:t>
            </w:r>
          </w:p>
        </w:tc>
        <w:tc>
          <w:tcPr>
            <w:tcW w:w="1098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92919</w:t>
            </w:r>
          </w:p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605B2" w:rsidRPr="00D35403" w:rsidTr="00D35403">
        <w:tc>
          <w:tcPr>
            <w:tcW w:w="5353" w:type="dxa"/>
          </w:tcPr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3 Амортизация по неоплаченной продукции </w:t>
            </w:r>
          </w:p>
        </w:tc>
        <w:tc>
          <w:tcPr>
            <w:tcW w:w="992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8334</w:t>
            </w:r>
          </w:p>
        </w:tc>
        <w:tc>
          <w:tcPr>
            <w:tcW w:w="993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26667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22917</w:t>
            </w:r>
          </w:p>
        </w:tc>
        <w:tc>
          <w:tcPr>
            <w:tcW w:w="1098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605B2" w:rsidRPr="00D35403" w:rsidTr="00D35403">
        <w:tc>
          <w:tcPr>
            <w:tcW w:w="5353" w:type="dxa"/>
          </w:tcPr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 Амортизация, относящаяся к остаткам непр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данной продукции</w:t>
            </w:r>
          </w:p>
        </w:tc>
        <w:tc>
          <w:tcPr>
            <w:tcW w:w="992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3333</w:t>
            </w:r>
          </w:p>
        </w:tc>
        <w:tc>
          <w:tcPr>
            <w:tcW w:w="993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6667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-833</w:t>
            </w:r>
          </w:p>
        </w:tc>
        <w:tc>
          <w:tcPr>
            <w:tcW w:w="1098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9167</w:t>
            </w:r>
          </w:p>
        </w:tc>
      </w:tr>
      <w:tr w:rsidR="008605B2" w:rsidRPr="00D35403" w:rsidTr="00D35403">
        <w:tc>
          <w:tcPr>
            <w:tcW w:w="5353" w:type="dxa"/>
          </w:tcPr>
          <w:p w:rsidR="008605B2" w:rsidRPr="00D35403" w:rsidRDefault="008605B2" w:rsidP="00D35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 Амортизация за период (1+4)</w:t>
            </w:r>
          </w:p>
        </w:tc>
        <w:tc>
          <w:tcPr>
            <w:tcW w:w="992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993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60000</w:t>
            </w:r>
          </w:p>
        </w:tc>
        <w:tc>
          <w:tcPr>
            <w:tcW w:w="1134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45000</w:t>
            </w:r>
          </w:p>
        </w:tc>
        <w:tc>
          <w:tcPr>
            <w:tcW w:w="1098" w:type="dxa"/>
            <w:vAlign w:val="center"/>
          </w:tcPr>
          <w:p w:rsidR="008605B2" w:rsidRPr="00D35403" w:rsidRDefault="008605B2" w:rsidP="00D35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125000</w:t>
            </w:r>
          </w:p>
        </w:tc>
      </w:tr>
    </w:tbl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8605B2" w:rsidSect="004671B4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8605B2" w:rsidRPr="00B03EE1" w:rsidRDefault="008605B2" w:rsidP="004D61FA">
      <w:pPr>
        <w:rPr>
          <w:rFonts w:ascii="Times New Roman" w:hAnsi="Times New Roman"/>
          <w:sz w:val="28"/>
          <w:szCs w:val="28"/>
        </w:rPr>
      </w:pPr>
      <w:r w:rsidRPr="00B03EE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B03EE1">
        <w:rPr>
          <w:rFonts w:ascii="Times New Roman" w:hAnsi="Times New Roman"/>
          <w:sz w:val="28"/>
          <w:szCs w:val="28"/>
        </w:rPr>
        <w:t xml:space="preserve">– Расчет величины амортизационного фонда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0"/>
        <w:gridCol w:w="2814"/>
        <w:gridCol w:w="2883"/>
        <w:gridCol w:w="2611"/>
      </w:tblGrid>
      <w:tr w:rsidR="008605B2" w:rsidRPr="00D35403" w:rsidTr="00D35403">
        <w:trPr>
          <w:trHeight w:val="273"/>
        </w:trPr>
        <w:tc>
          <w:tcPr>
            <w:tcW w:w="5979" w:type="dxa"/>
            <w:vMerge w:val="restart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8368" w:type="dxa"/>
            <w:gridSpan w:val="3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Значение, руб.</w:t>
            </w:r>
          </w:p>
        </w:tc>
      </w:tr>
      <w:tr w:rsidR="008605B2" w:rsidRPr="00D35403" w:rsidTr="00D35403">
        <w:trPr>
          <w:trHeight w:val="273"/>
        </w:trPr>
        <w:tc>
          <w:tcPr>
            <w:tcW w:w="5979" w:type="dxa"/>
            <w:vMerge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Первый год</w:t>
            </w:r>
          </w:p>
        </w:tc>
        <w:tc>
          <w:tcPr>
            <w:tcW w:w="290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Второй год</w:t>
            </w:r>
          </w:p>
        </w:tc>
        <w:tc>
          <w:tcPr>
            <w:tcW w:w="2615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Третий год</w:t>
            </w:r>
          </w:p>
        </w:tc>
      </w:tr>
      <w:tr w:rsidR="008605B2" w:rsidRPr="00D35403" w:rsidTr="00D35403">
        <w:trPr>
          <w:trHeight w:val="566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Первоначальная (восстановительная) стоимость объе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к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та основных средств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100000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</w:tr>
      <w:tr w:rsidR="008605B2" w:rsidRPr="00D35403" w:rsidTr="00D35403">
        <w:trPr>
          <w:trHeight w:val="273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60000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45000</w:t>
            </w:r>
          </w:p>
        </w:tc>
      </w:tr>
      <w:tr w:rsidR="008605B2" w:rsidRPr="00D35403" w:rsidTr="00D35403">
        <w:trPr>
          <w:trHeight w:val="54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Накопленная амортизация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90000 (с учетом 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переоценки)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135000</w:t>
            </w:r>
          </w:p>
        </w:tc>
      </w:tr>
      <w:tr w:rsidR="008605B2" w:rsidRPr="00D35403" w:rsidTr="00D35403">
        <w:trPr>
          <w:trHeight w:val="258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Себестоимость произведенной продукции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135000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105000</w:t>
            </w:r>
          </w:p>
        </w:tc>
      </w:tr>
      <w:tr w:rsidR="008605B2" w:rsidRPr="00D35403" w:rsidTr="00D35403">
        <w:trPr>
          <w:trHeight w:val="277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Себестоимость реализованной продукции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100000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110000</w:t>
            </w:r>
          </w:p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105000 – текущего п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е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риода, 5000 – остатки первого года)</w:t>
            </w:r>
          </w:p>
        </w:tc>
      </w:tr>
      <w:tr w:rsidR="008605B2" w:rsidRPr="00D35403" w:rsidTr="00D35403">
        <w:trPr>
          <w:trHeight w:val="273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Доля себестоимости реализованной продукции в об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ъ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еме произведенной, %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83,3(3)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88,8(9)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104,76</w:t>
            </w:r>
          </w:p>
        </w:tc>
      </w:tr>
      <w:tr w:rsidR="008605B2" w:rsidRPr="00D35403" w:rsidTr="00D35403">
        <w:trPr>
          <w:trHeight w:val="54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Доля амортизации, относящаяся к реализованной пр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дукции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16667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53334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45000+5000/120000 * 20000 = 45833</w:t>
            </w:r>
          </w:p>
        </w:tc>
      </w:tr>
      <w:tr w:rsidR="008605B2" w:rsidRPr="00D35403" w:rsidTr="00D35403">
        <w:trPr>
          <w:trHeight w:val="283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Выручка-нетто от продажи продукции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150000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180000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160000</w:t>
            </w:r>
          </w:p>
        </w:tc>
      </w:tr>
      <w:tr w:rsidR="008605B2" w:rsidRPr="00D35403" w:rsidTr="00D35403">
        <w:trPr>
          <w:trHeight w:val="415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Денежные средства, полученные от покупателей (50 % текущего и 50 % прошлого периодов)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 xml:space="preserve">75000 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75000+90000 = 165000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90000+80000=170000</w:t>
            </w:r>
          </w:p>
        </w:tc>
      </w:tr>
      <w:tr w:rsidR="008605B2" w:rsidRPr="00D35403" w:rsidTr="00D35403">
        <w:trPr>
          <w:trHeight w:val="565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Начисленный за период амортизационный фонд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16667*0,5 = 8334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16667*0,5 + 53334 * 0,5 = 8334+26667 = 35001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53334*0,5+45833*0,5 = 26667 + 22917 = 49584</w:t>
            </w:r>
          </w:p>
        </w:tc>
      </w:tr>
      <w:tr w:rsidR="008605B2" w:rsidRPr="00D35403" w:rsidTr="00D35403">
        <w:trPr>
          <w:trHeight w:val="13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Накопленная величина амортизационного фонда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8334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43335 (8334 + 35001)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92919 (43335 + 49584)</w:t>
            </w:r>
          </w:p>
        </w:tc>
      </w:tr>
      <w:tr w:rsidR="008605B2" w:rsidRPr="00D35403" w:rsidTr="00D35403">
        <w:trPr>
          <w:trHeight w:val="13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Не включенная в амортизационный фонд сумма амо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тизации … года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11667 (8334 + 3333)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33334 (26667 + 6667)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22500</w:t>
            </w:r>
          </w:p>
        </w:tc>
      </w:tr>
      <w:tr w:rsidR="008605B2" w:rsidRPr="00D35403" w:rsidTr="00D35403">
        <w:trPr>
          <w:trHeight w:val="134"/>
        </w:trPr>
        <w:tc>
          <w:tcPr>
            <w:tcW w:w="5979" w:type="dxa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Не включенная в амортизационный фонд сумма амо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р</w:t>
            </w:r>
            <w:r w:rsidRPr="00D35403">
              <w:rPr>
                <w:rFonts w:ascii="Times New Roman" w:hAnsi="Times New Roman"/>
                <w:sz w:val="24"/>
                <w:szCs w:val="24"/>
              </w:rPr>
              <w:t>тизации нарастающим итогом</w:t>
            </w:r>
          </w:p>
        </w:tc>
        <w:tc>
          <w:tcPr>
            <w:tcW w:w="2844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11667</w:t>
            </w:r>
          </w:p>
        </w:tc>
        <w:tc>
          <w:tcPr>
            <w:tcW w:w="2909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36667 (3333 + 33334)</w:t>
            </w:r>
          </w:p>
        </w:tc>
        <w:tc>
          <w:tcPr>
            <w:tcW w:w="2615" w:type="dxa"/>
            <w:vAlign w:val="center"/>
          </w:tcPr>
          <w:p w:rsidR="008605B2" w:rsidRPr="00D35403" w:rsidRDefault="008605B2" w:rsidP="00D35403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403">
              <w:rPr>
                <w:rFonts w:ascii="Times New Roman" w:hAnsi="Times New Roman"/>
                <w:sz w:val="24"/>
                <w:szCs w:val="24"/>
              </w:rPr>
              <w:t>3333 – 833 + 6667 + 22917= 32084</w:t>
            </w:r>
          </w:p>
        </w:tc>
      </w:tr>
    </w:tbl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8605B2" w:rsidSect="004671B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8605B2" w:rsidRDefault="008605B2" w:rsidP="00590379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Учетный регистр «Расчет амортизационного фонда» при способе списания стоимости пропорционально продукции (работ) (рисунок 4).</w: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35" o:spid="_x0000_s1075" style="position:absolute;left:0;text-align:left;flip:x;z-index:251651584;visibility:visible" from="42.65pt,21.7pt" to="45.35pt,496.5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shape id="Блок-схема: внутренняя память 66" o:spid="_x0000_s1076" type="#_x0000_t113" style="position:absolute;left:0;text-align:left;margin-left:55.55pt;margin-top:5.4pt;width:357.95pt;height:33.05pt;z-index:251633152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6848FD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48FD">
                    <w:rPr>
                      <w:rFonts w:ascii="Times New Roman" w:hAnsi="Times New Roman"/>
                      <w:sz w:val="24"/>
                      <w:szCs w:val="24"/>
                    </w:rPr>
                    <w:t>Дебиторская задолженность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136" o:spid="_x0000_s1077" style="position:absolute;left:0;text-align:left;z-index:251652608;visibility:visible" from="45.35pt,21.95pt" to="56.2pt,21.95pt" strokeweight="2pt">
            <v:shadow on="t" color="black" opacity="24903f" origin=",.5" offset="0,.55556mm"/>
          </v:lin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17" o:spid="_x0000_s1078" style="position:absolute;left:0;text-align:left;margin-left:234.85pt;margin-top:20.1pt;width:178.65pt;height:29.75pt;z-index:251634176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>по периодам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18" o:spid="_x0000_s1079" style="position:absolute;left:0;text-align:left;margin-left:56.25pt;margin-top:20.1pt;width:178.65pt;height:29.75pt;z-index:251635200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контрагентам</w:t>
                  </w:r>
                </w:p>
              </w:txbxContent>
            </v:textbox>
          </v:rect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45" o:spid="_x0000_s1080" style="position:absolute;left:0;text-align:left;flip:x;z-index:251632128;visibility:visible" from="421.65pt,8.05pt" to="424.3pt,485.55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40" o:spid="_x0000_s1081" style="position:absolute;left:0;text-align:left;z-index:251656704;visibility:visible" from="413.5pt,9.2pt" to="424.35pt,9.2pt" strokeweight="2pt">
            <v:shadow on="t" color="black" opacity="24903f" origin=",.5" offset="0,.55556mm"/>
          </v:lin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Блок-схема: внутренняя память 119" o:spid="_x0000_s1082" type="#_x0000_t113" style="position:absolute;left:0;text-align:left;margin-left:55.55pt;margin-top:13.95pt;width:357.95pt;height:33.05pt;z-index:251636224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6848FD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Инкассация д</w:t>
                  </w:r>
                  <w:r w:rsidRPr="006848FD">
                    <w:rPr>
                      <w:rFonts w:ascii="Times New Roman" w:hAnsi="Times New Roman"/>
                      <w:sz w:val="24"/>
                      <w:szCs w:val="24"/>
                    </w:rPr>
                    <w:t>ебиторск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ой</w:t>
                  </w:r>
                  <w:r w:rsidRPr="006848FD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задолженност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</w:p>
              </w:txbxContent>
            </v:textbox>
          </v:shap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32" o:spid="_x0000_s1083" style="position:absolute;left:0;text-align:left;margin-left:-.85pt;margin-top:.4pt;width:33.25pt;height:396.65pt;z-index:251648512;visibility:visible;v-text-anchor:middle" strokecolor="#f79646" strokeweight="2pt">
            <v:textbox style="layout-flow:vertical;mso-layout-flow-alt:bottom-to-top" inset=",0,,0">
              <w:txbxContent>
                <w:p w:rsidR="008605B2" w:rsidRPr="00AF0C87" w:rsidRDefault="008605B2" w:rsidP="0080689E">
                  <w:pPr>
                    <w:jc w:val="center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8605B2" w:rsidRPr="00E816A0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6A0">
                    <w:rPr>
                      <w:rFonts w:ascii="Times New Roman" w:hAnsi="Times New Roman"/>
                      <w:sz w:val="24"/>
                      <w:szCs w:val="24"/>
                    </w:rPr>
                    <w:t>ИНФОРМАЦИОННЫЕ БЛОКИ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33" o:spid="_x0000_s1084" style="position:absolute;left:0;text-align:left;margin-left:433.8pt;margin-top:-.2pt;width:33.25pt;height:396.6pt;z-index:251649536;visibility:visible;v-text-anchor:middle" strokecolor="#f79646" strokeweight="2pt">
            <v:textbox style="layout-flow:vertical;mso-layout-flow-alt:bottom-to-top" inset=",0,,0">
              <w:txbxContent>
                <w:p w:rsidR="008605B2" w:rsidRPr="00AF0C87" w:rsidRDefault="008605B2" w:rsidP="0080689E">
                  <w:pPr>
                    <w:jc w:val="center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8605B2" w:rsidRPr="00E816A0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АНАЛИТИКА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Прямая соединительная линия 137" o:spid="_x0000_s1085" style="position:absolute;left:0;text-align:left;z-index:251653632;visibility:visible" from="44.7pt,8.8pt" to="55.55pt,8.8pt" strokeweight="2pt">
            <v:shadow on="t" color="black" opacity="24903f" origin=",.5" offset="0,.55556mm"/>
          </v:lin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21" o:spid="_x0000_s1086" style="position:absolute;left:0;text-align:left;margin-left:56.9pt;margin-top:4.5pt;width:104.6pt;height:29.75pt;z-index:251637248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контрагентам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2" o:spid="_x0000_s1087" style="position:absolute;left:0;text-align:left;margin-left:161.5pt;margin-top:5.3pt;width:95.1pt;height:29.75pt;z-index:251638272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>по периодам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3" o:spid="_x0000_s1088" style="position:absolute;left:0;text-align:left;margin-left:256.6pt;margin-top:4.5pt;width:156.9pt;height:29.75pt;z-index:251639296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стоимостном выражении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Прямая соединительная линия 141" o:spid="_x0000_s1089" style="position:absolute;left:0;text-align:left;z-index:251657728;visibility:visible" from="413.5pt,22.7pt" to="424.35pt,22.7pt" strokeweight="2pt">
            <v:shadow on="t" color="black" opacity="24903f" origin=",.5" offset="0,.55556mm"/>
          </v:lin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24" o:spid="_x0000_s1090" style="position:absolute;left:0;text-align:left;margin-left:108.55pt;margin-top:10.9pt;width:248.5pt;height:29.75pt;z-index:251640320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процентах от общей суммы задолженности</w:t>
                  </w:r>
                </w:p>
              </w:txbxContent>
            </v:textbox>
          </v:rect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Блок-схема: внутренняя память 126" o:spid="_x0000_s1091" type="#_x0000_t113" style="position:absolute;left:0;text-align:left;margin-left:56.9pt;margin-top:6.4pt;width:356.6pt;height:33.05pt;z-index:251642368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6848FD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Начисленная амортизация</w:t>
                  </w:r>
                </w:p>
              </w:txbxContent>
            </v:textbox>
          </v:shap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25" o:spid="_x0000_s1092" style="position:absolute;left:0;text-align:left;margin-left:234.85pt;margin-top:21.95pt;width:176.55pt;height:29.75pt;z-index:251641344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>по периодам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7" o:spid="_x0000_s1093" style="position:absolute;left:0;text-align:left;margin-left:55.55pt;margin-top:21.95pt;width:179.3pt;height:29.75pt;z-index:251643392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объектам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Прямая соединительная линия 138" o:spid="_x0000_s1094" style="position:absolute;left:0;text-align:left;z-index:251654656;visibility:visible" from="45.35pt,1.3pt" to="56.2pt,1.3pt" strokeweight="2pt">
            <v:shadow on="t" color="black" opacity="24903f" origin=",.5" offset="0,.55556mm"/>
          </v:line>
        </w:pict>
      </w:r>
    </w:p>
    <w:p w:rsidR="008605B2" w:rsidRDefault="008605B2" w:rsidP="0080689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42" o:spid="_x0000_s1095" style="position:absolute;left:0;text-align:left;z-index:251658752;visibility:visible" from="411.5pt,16.8pt" to="422.35pt,16.8pt" strokeweight="2pt">
            <v:shadow on="t" color="black" opacity="24903f" origin=",.5" offset="0,.55556mm"/>
          </v:line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44" o:spid="_x0000_s1096" style="position:absolute;left:0;text-align:left;z-index:251660800;visibility:visible" from="424.4pt,19.6pt" to="433.9pt,19.6pt" strokeweight="3pt">
            <v:shadow on="t" color="black" opacity="22937f" origin=",.5" offset="0,.63889mm"/>
          </v:line>
        </w:pict>
      </w:r>
      <w:r>
        <w:rPr>
          <w:noProof/>
          <w:lang w:eastAsia="ru-RU"/>
        </w:rPr>
        <w:pict>
          <v:line id="Прямая соединительная линия 134" o:spid="_x0000_s1097" style="position:absolute;left:0;text-align:left;z-index:251650560;visibility:visible" from="32.45pt,19.6pt" to="44.75pt,19.6pt" strokeweight="3pt">
            <v:shadow on="t" color="black" opacity="22937f" origin=",.5" offset="0,.63889mm"/>
          </v:line>
        </w:pict>
      </w:r>
      <w:r>
        <w:rPr>
          <w:noProof/>
          <w:lang w:eastAsia="ru-RU"/>
        </w:rPr>
        <w:pict>
          <v:rect id="Прямоугольник 146" o:spid="_x0000_s1098" style="position:absolute;left:0;text-align:left;margin-left:55.55pt;margin-top:4.65pt;width:355.9pt;height:40.1pt;z-index:251661824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Default="008605B2" w:rsidP="0080689E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себестоимости реализованной продукции в общей величине</w:t>
                  </w:r>
                </w:p>
                <w:p w:rsidR="008605B2" w:rsidRPr="001F720A" w:rsidRDefault="008605B2" w:rsidP="0080689E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произведенной продукции по периодам</w:t>
                  </w:r>
                </w:p>
              </w:txbxContent>
            </v:textbox>
          </v:rect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47" o:spid="_x0000_s1099" style="position:absolute;left:0;text-align:left;margin-left:54.85pt;margin-top:20.65pt;width:356.5pt;height:42.8pt;z-index:251662848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амортизации, относящаяся к реализованной продукции за каждый период</w:t>
                  </w:r>
                </w:p>
              </w:txbxContent>
            </v:textbox>
          </v:rect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Блок-схема: внутренняя память 128" o:spid="_x0000_s1100" type="#_x0000_t113" style="position:absolute;left:0;text-align:left;margin-left:54.85pt;margin-top:-.25pt;width:355.8pt;height:33.05pt;z-index:251644416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6848FD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Амортизационный фонд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139" o:spid="_x0000_s1101" style="position:absolute;left:0;text-align:left;z-index:251655680;visibility:visible" from="44.7pt,9.85pt" to="55.55pt,9.85pt" strokeweight="2pt">
            <v:shadow on="t" color="black" opacity="24903f" origin=",.5" offset="0,.55556mm"/>
          </v:line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30" o:spid="_x0000_s1102" style="position:absolute;left:0;text-align:left;margin-left:181.85pt;margin-top:16pt;width:90.3pt;height:29.7pt;z-index:251646464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периодам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31" o:spid="_x0000_s1103" style="position:absolute;left:0;text-align:left;margin-left:272.1pt;margin-top:16pt;width:138.55pt;height:29.7pt;z-index:251647488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накопленная величина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9" o:spid="_x0000_s1104" style="position:absolute;left:0;text-align:left;margin-left:53.5pt;margin-top:15.35pt;width:128.4pt;height:29.7pt;z-index:251645440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8068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группам объектов</w:t>
                  </w:r>
                </w:p>
              </w:txbxContent>
            </v:textbox>
          </v:rect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48" o:spid="_x0000_s1105" style="position:absolute;left:0;text-align:left;margin-left:53.5pt;margin-top:21.1pt;width:357.15pt;height:29.7pt;z-index:251670016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053D5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 характеру воспроизводственного процесса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Прямая соединительная линия 143" o:spid="_x0000_s1106" style="position:absolute;left:0;text-align:left;z-index:251659776;visibility:visible" from="411.5pt,1.25pt" to="422.35pt,1.25pt" strokeweight="2pt">
            <v:shadow on="t" color="black" opacity="24903f" origin=",.5" offset="0,.55556mm"/>
          </v:line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Блок-схема: внутренняя память 149" o:spid="_x0000_s1107" type="#_x0000_t113" style="position:absolute;left:0;text-align:left;margin-left:54.85pt;margin-top:11.2pt;width:355.8pt;height:46.85pt;z-index:251663872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 inset="0,,0">
              <w:txbxContent>
                <w:p w:rsidR="008605B2" w:rsidRDefault="008605B2" w:rsidP="001E47E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Не включенная в амортизационный фонд сумма </w:t>
                  </w:r>
                </w:p>
                <w:p w:rsidR="008605B2" w:rsidRPr="006848FD" w:rsidRDefault="008605B2" w:rsidP="001E47E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амортизации</w:t>
                  </w:r>
                </w:p>
              </w:txbxContent>
            </v:textbox>
          </v:shape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54" o:spid="_x0000_s1108" style="position:absolute;left:0;text-align:left;z-index:251667968;visibility:visible" from="43.05pt,13.8pt" to="53.9pt,13.8pt" strokeweight="2pt">
            <v:shadow on="t" color="black" opacity="24903f" origin=",.5" offset="0,.55556mm"/>
          </v:line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51" o:spid="_x0000_s1109" style="position:absolute;left:0;text-align:left;margin-left:54.85pt;margin-top:9.8pt;width:355.8pt;height:29.7pt;z-index:251664896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BD089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F720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периодам с указанием нарастающего итога</w:t>
                  </w:r>
                </w:p>
              </w:txbxContent>
            </v:textbox>
          </v:rect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55" o:spid="_x0000_s1110" style="position:absolute;left:0;text-align:left;z-index:251668992;visibility:visible" from="411.85pt,3.2pt" to="422.7pt,3.2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rect id="Прямоугольник 153" o:spid="_x0000_s1111" style="position:absolute;left:0;text-align:left;margin-left:238.25pt;margin-top:15.5pt;width:172.4pt;height:41.4pt;z-index:251666944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BD089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относящаяся к неоплаченной продукции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52" o:spid="_x0000_s1112" style="position:absolute;left:0;text-align:left;margin-left:54.85pt;margin-top:15.5pt;width:183.4pt;height:41.45pt;z-index:251665920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605B2" w:rsidRPr="001F720A" w:rsidRDefault="008605B2" w:rsidP="00BD089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относящаяся к нереализованной продукции</w:t>
                  </w:r>
                </w:p>
              </w:txbxContent>
            </v:textbox>
          </v:rect>
        </w:pic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CF2A1F">
      <w:pPr>
        <w:tabs>
          <w:tab w:val="left" w:pos="216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  Учетный регистр «Расчет амортизационного фонда» при способе списания стоимости пропорционально продукции (работ)</w: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IV «Заключительные положения».</w: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амортизационного фонда направлено на повышение информативности данных о воспроизводственном процессе компании. Выбор характера воспроизводственного процесса, а также детализации аналитики, формируемой в рамках теории амортизационного фонда, отн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сится к компетенции учетного персонала компании. Тем не менее, анал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тика должна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крывать данные по приобретению, строительству и т.д. по основным группам основных средств в разрезе источников финансиров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</w:t>
      </w:r>
    </w:p>
    <w:p w:rsidR="008605B2" w:rsidRDefault="008605B2" w:rsidP="00E66FE6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применение положений нормативного документа «Методические рекомендации по формированию амортизационного фо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да» упростит формирование достоверной информации о структуре собс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венных источников финансирования, а также повысит достоверность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формации о себестоимости производимого продукта в связи с прекращ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распределения косвенных затрат на амортизацию.</w:t>
      </w:r>
    </w:p>
    <w:p w:rsidR="008605B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Pr="006C350F" w:rsidRDefault="008605B2" w:rsidP="00F863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C350F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8605B2" w:rsidRDefault="008605B2" w:rsidP="00F863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605B2" w:rsidRPr="00F86322" w:rsidRDefault="008605B2" w:rsidP="00F863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322">
        <w:rPr>
          <w:rFonts w:ascii="Times New Roman" w:hAnsi="Times New Roman"/>
          <w:sz w:val="24"/>
          <w:szCs w:val="24"/>
        </w:rPr>
        <w:t>1 Медведев М. Ю. Бухгалтерский словарь / М. Ю. Медведев. – М.: ТК Велби, Изд-во проспект, 2008. – 496 с.</w:t>
      </w:r>
    </w:p>
    <w:p w:rsidR="008605B2" w:rsidRPr="00F86322" w:rsidRDefault="008605B2" w:rsidP="00F863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322">
        <w:rPr>
          <w:rFonts w:ascii="Times New Roman" w:hAnsi="Times New Roman"/>
          <w:sz w:val="24"/>
          <w:szCs w:val="24"/>
        </w:rPr>
        <w:t>2 Международные стандарты финансовой отчетности. – М.: Аскери-АССА, 2012. – 1002 с.</w:t>
      </w:r>
    </w:p>
    <w:p w:rsidR="008605B2" w:rsidRDefault="008605B2" w:rsidP="00F86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5B2" w:rsidRPr="006C350F" w:rsidRDefault="008605B2" w:rsidP="00F863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C350F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8605B2" w:rsidRPr="004671B4" w:rsidRDefault="008605B2" w:rsidP="00F863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605B2" w:rsidRPr="006C350F" w:rsidRDefault="008605B2" w:rsidP="006C35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C350F">
        <w:rPr>
          <w:rFonts w:ascii="Times New Roman" w:hAnsi="Times New Roman"/>
          <w:sz w:val="24"/>
          <w:szCs w:val="24"/>
          <w:lang w:val="en-US"/>
        </w:rPr>
        <w:t>1 Medvedev M. Ju. Buhgalterskij slovar' / M. Ju. Medvedev. – M.: TK Velbi, Izd-vo prospekt, 2008. – 496 s.</w:t>
      </w:r>
    </w:p>
    <w:p w:rsidR="008605B2" w:rsidRPr="006C350F" w:rsidRDefault="008605B2" w:rsidP="006C35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C350F">
        <w:rPr>
          <w:rFonts w:ascii="Times New Roman" w:hAnsi="Times New Roman"/>
          <w:sz w:val="24"/>
          <w:szCs w:val="24"/>
          <w:lang w:val="en-US"/>
        </w:rPr>
        <w:t>2 Mezhdunarodnye standarty finansovoj otchetnosti. – M.: Askeri-ASSA, 2012. – 1002 s.</w:t>
      </w:r>
    </w:p>
    <w:p w:rsidR="008605B2" w:rsidRPr="00F86322" w:rsidRDefault="008605B2" w:rsidP="004D61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605B2" w:rsidRPr="00F86322" w:rsidSect="004671B4">
      <w:pgSz w:w="11906" w:h="16838"/>
      <w:pgMar w:top="1418" w:right="1418" w:bottom="1418" w:left="1418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5B2" w:rsidRDefault="008605B2" w:rsidP="00C10EF7">
      <w:pPr>
        <w:spacing w:after="0" w:line="240" w:lineRule="auto"/>
      </w:pPr>
      <w:r>
        <w:separator/>
      </w:r>
    </w:p>
  </w:endnote>
  <w:endnote w:type="continuationSeparator" w:id="1">
    <w:p w:rsidR="008605B2" w:rsidRDefault="008605B2" w:rsidP="00C10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B2" w:rsidRDefault="008605B2">
    <w:pPr>
      <w:pStyle w:val="Footer"/>
    </w:pPr>
    <w:r w:rsidRPr="003517D2">
      <w:rPr>
        <w:rFonts w:ascii="Times New Roman" w:hAnsi="Times New Roman"/>
        <w:sz w:val="24"/>
      </w:rPr>
      <w:t>http://ej.kubagro.ru/2013/08/pdf/</w:t>
    </w:r>
    <w:r>
      <w:rPr>
        <w:rFonts w:ascii="Times New Roman" w:hAnsi="Times New Roman"/>
        <w:sz w:val="24"/>
        <w:lang w:val="en-US"/>
      </w:rPr>
      <w:t>9</w:t>
    </w:r>
    <w:r w:rsidRPr="003517D2">
      <w:rPr>
        <w:rFonts w:ascii="Times New Roman" w:hAnsi="Times New Roman"/>
        <w:sz w:val="24"/>
        <w:lang w:val="en-US"/>
      </w:rPr>
      <w:t>1</w:t>
    </w:r>
    <w:r w:rsidRPr="003517D2">
      <w:rPr>
        <w:rFonts w:ascii="Times New Roman" w:hAnsi="Times New Roman"/>
        <w:sz w:val="24"/>
      </w:rPr>
      <w:t>.pdf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B2" w:rsidRPr="00C10EF7" w:rsidRDefault="008605B2">
    <w:pPr>
      <w:pStyle w:val="Footer"/>
      <w:jc w:val="center"/>
      <w:rPr>
        <w:rFonts w:ascii="Times New Roman" w:hAnsi="Times New Roman"/>
        <w:sz w:val="24"/>
        <w:szCs w:val="24"/>
      </w:rPr>
    </w:pPr>
  </w:p>
  <w:p w:rsidR="008605B2" w:rsidRDefault="008605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5B2" w:rsidRDefault="008605B2" w:rsidP="00C10EF7">
      <w:pPr>
        <w:spacing w:after="0" w:line="240" w:lineRule="auto"/>
      </w:pPr>
      <w:r>
        <w:separator/>
      </w:r>
    </w:p>
  </w:footnote>
  <w:footnote w:type="continuationSeparator" w:id="1">
    <w:p w:rsidR="008605B2" w:rsidRDefault="008605B2" w:rsidP="00C10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B2" w:rsidRDefault="008605B2" w:rsidP="000E51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05B2" w:rsidRDefault="008605B2" w:rsidP="004671B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B2" w:rsidRPr="004671B4" w:rsidRDefault="008605B2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671B4">
      <w:rPr>
        <w:rStyle w:val="PageNumber"/>
        <w:rFonts w:ascii="Times New Roman" w:hAnsi="Times New Roman"/>
        <w:sz w:val="28"/>
        <w:szCs w:val="28"/>
      </w:rPr>
      <w:fldChar w:fldCharType="begin"/>
    </w:r>
    <w:r w:rsidRPr="004671B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671B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4671B4">
      <w:rPr>
        <w:rStyle w:val="PageNumber"/>
        <w:rFonts w:ascii="Times New Roman" w:hAnsi="Times New Roman"/>
        <w:sz w:val="28"/>
        <w:szCs w:val="28"/>
      </w:rPr>
      <w:fldChar w:fldCharType="end"/>
    </w:r>
  </w:p>
  <w:p w:rsidR="008605B2" w:rsidRPr="004671B4" w:rsidRDefault="008605B2" w:rsidP="004671B4">
    <w:pPr>
      <w:pStyle w:val="Header"/>
      <w:ind w:right="360"/>
      <w:rPr>
        <w:rFonts w:ascii="Times New Roman" w:hAnsi="Times New Roman"/>
      </w:rPr>
    </w:pPr>
    <w:r w:rsidRPr="004671B4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4671B4">
      <w:rPr>
        <w:rFonts w:ascii="Times New Roman" w:hAnsi="Times New Roman"/>
        <w:color w:val="000000"/>
        <w:sz w:val="24"/>
        <w:szCs w:val="24"/>
        <w:lang w:val="en-US"/>
      </w:rPr>
      <w:t>9</w:t>
    </w:r>
    <w:r w:rsidRPr="004671B4">
      <w:rPr>
        <w:rFonts w:ascii="Times New Roman" w:hAnsi="Times New Roman"/>
        <w:color w:val="000000"/>
        <w:sz w:val="24"/>
        <w:szCs w:val="24"/>
      </w:rPr>
      <w:t>2(08), 2013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B2" w:rsidRDefault="008605B2" w:rsidP="000E51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605B2" w:rsidRDefault="008605B2" w:rsidP="004671B4">
    <w:pPr>
      <w:pStyle w:val="Header"/>
      <w:ind w:right="360"/>
    </w:pPr>
    <w:r w:rsidRPr="009C0EF6">
      <w:rPr>
        <w:color w:val="000000"/>
        <w:sz w:val="24"/>
        <w:szCs w:val="24"/>
      </w:rPr>
      <w:t>Научный журнал КубГАУ, №</w:t>
    </w:r>
    <w:r w:rsidRPr="009C0EF6">
      <w:rPr>
        <w:color w:val="000000"/>
        <w:sz w:val="24"/>
        <w:szCs w:val="24"/>
        <w:lang w:val="en-US"/>
      </w:rPr>
      <w:t>9</w:t>
    </w:r>
    <w:r w:rsidRPr="009C0EF6">
      <w:rPr>
        <w:color w:val="000000"/>
        <w:sz w:val="24"/>
        <w:szCs w:val="24"/>
      </w:rPr>
      <w:t>2(08),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046E"/>
    <w:multiLevelType w:val="hybridMultilevel"/>
    <w:tmpl w:val="2200D98E"/>
    <w:lvl w:ilvl="0" w:tplc="C3CC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E2E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3ED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189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32E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A8D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82C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243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740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5054E0"/>
    <w:multiLevelType w:val="hybridMultilevel"/>
    <w:tmpl w:val="CBCAAFE8"/>
    <w:lvl w:ilvl="0" w:tplc="DDBC0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5AE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062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3E6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A6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CC3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94E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74F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002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7336C4"/>
    <w:multiLevelType w:val="hybridMultilevel"/>
    <w:tmpl w:val="5D10A338"/>
    <w:lvl w:ilvl="0" w:tplc="39C6C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46F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588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DCF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D42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24F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321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8A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401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98D0961"/>
    <w:multiLevelType w:val="hybridMultilevel"/>
    <w:tmpl w:val="ED72D8D6"/>
    <w:lvl w:ilvl="0" w:tplc="10422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7E4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709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81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D4F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5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56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8AA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5E6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FF540A6"/>
    <w:multiLevelType w:val="hybridMultilevel"/>
    <w:tmpl w:val="E1C00518"/>
    <w:lvl w:ilvl="0" w:tplc="DC1A8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560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168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0A3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7A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1678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60A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E29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C88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DD0"/>
    <w:rsid w:val="00001C80"/>
    <w:rsid w:val="000030DD"/>
    <w:rsid w:val="0001259B"/>
    <w:rsid w:val="00012B67"/>
    <w:rsid w:val="00012C83"/>
    <w:rsid w:val="000174C2"/>
    <w:rsid w:val="00020AB9"/>
    <w:rsid w:val="00026093"/>
    <w:rsid w:val="000271A3"/>
    <w:rsid w:val="00036AE1"/>
    <w:rsid w:val="00041B23"/>
    <w:rsid w:val="00046165"/>
    <w:rsid w:val="00050133"/>
    <w:rsid w:val="000507B7"/>
    <w:rsid w:val="000515A8"/>
    <w:rsid w:val="00053D57"/>
    <w:rsid w:val="00070F12"/>
    <w:rsid w:val="000719AF"/>
    <w:rsid w:val="00095803"/>
    <w:rsid w:val="000A0494"/>
    <w:rsid w:val="000A73C9"/>
    <w:rsid w:val="000A7685"/>
    <w:rsid w:val="000B1806"/>
    <w:rsid w:val="000B6A16"/>
    <w:rsid w:val="000E5129"/>
    <w:rsid w:val="000E6379"/>
    <w:rsid w:val="000F3B3A"/>
    <w:rsid w:val="000F630B"/>
    <w:rsid w:val="001052A6"/>
    <w:rsid w:val="0013481A"/>
    <w:rsid w:val="00143FCA"/>
    <w:rsid w:val="00160D3C"/>
    <w:rsid w:val="00163F27"/>
    <w:rsid w:val="00164D24"/>
    <w:rsid w:val="001665A6"/>
    <w:rsid w:val="00167BB5"/>
    <w:rsid w:val="00171B37"/>
    <w:rsid w:val="00180FF0"/>
    <w:rsid w:val="001836D7"/>
    <w:rsid w:val="001840A9"/>
    <w:rsid w:val="001A2B5F"/>
    <w:rsid w:val="001A4572"/>
    <w:rsid w:val="001C1AF1"/>
    <w:rsid w:val="001C4BA1"/>
    <w:rsid w:val="001C7AA8"/>
    <w:rsid w:val="001D2D8B"/>
    <w:rsid w:val="001D66BE"/>
    <w:rsid w:val="001E0767"/>
    <w:rsid w:val="001E41E4"/>
    <w:rsid w:val="001E47E7"/>
    <w:rsid w:val="001F0ACA"/>
    <w:rsid w:val="001F42A9"/>
    <w:rsid w:val="001F720A"/>
    <w:rsid w:val="002006E4"/>
    <w:rsid w:val="00227F1F"/>
    <w:rsid w:val="00233F1A"/>
    <w:rsid w:val="00243DD0"/>
    <w:rsid w:val="002454AE"/>
    <w:rsid w:val="00255165"/>
    <w:rsid w:val="00263E67"/>
    <w:rsid w:val="00265052"/>
    <w:rsid w:val="0027793D"/>
    <w:rsid w:val="00290BA0"/>
    <w:rsid w:val="002C009A"/>
    <w:rsid w:val="002C0B4E"/>
    <w:rsid w:val="002C1D33"/>
    <w:rsid w:val="002C1E40"/>
    <w:rsid w:val="002E4927"/>
    <w:rsid w:val="002F4B02"/>
    <w:rsid w:val="002F7DA3"/>
    <w:rsid w:val="003020D7"/>
    <w:rsid w:val="0031162E"/>
    <w:rsid w:val="00313465"/>
    <w:rsid w:val="00326A8C"/>
    <w:rsid w:val="00333CD7"/>
    <w:rsid w:val="003423CB"/>
    <w:rsid w:val="003445BF"/>
    <w:rsid w:val="00346538"/>
    <w:rsid w:val="003517D2"/>
    <w:rsid w:val="00353F71"/>
    <w:rsid w:val="00355F46"/>
    <w:rsid w:val="003569E4"/>
    <w:rsid w:val="00361A76"/>
    <w:rsid w:val="00364D3D"/>
    <w:rsid w:val="00383ADC"/>
    <w:rsid w:val="0039669C"/>
    <w:rsid w:val="003A127D"/>
    <w:rsid w:val="003A13D9"/>
    <w:rsid w:val="003A3FA3"/>
    <w:rsid w:val="003A64CE"/>
    <w:rsid w:val="003B1DE2"/>
    <w:rsid w:val="003B2E06"/>
    <w:rsid w:val="003C210C"/>
    <w:rsid w:val="003C5451"/>
    <w:rsid w:val="003D715C"/>
    <w:rsid w:val="003E179E"/>
    <w:rsid w:val="004023EF"/>
    <w:rsid w:val="004063F1"/>
    <w:rsid w:val="00411C59"/>
    <w:rsid w:val="00413D9D"/>
    <w:rsid w:val="004249C3"/>
    <w:rsid w:val="00430197"/>
    <w:rsid w:val="00433598"/>
    <w:rsid w:val="004349D0"/>
    <w:rsid w:val="004351AE"/>
    <w:rsid w:val="0043740F"/>
    <w:rsid w:val="00441BBB"/>
    <w:rsid w:val="00441EF4"/>
    <w:rsid w:val="0045647F"/>
    <w:rsid w:val="004671B4"/>
    <w:rsid w:val="00483208"/>
    <w:rsid w:val="004851E3"/>
    <w:rsid w:val="00486585"/>
    <w:rsid w:val="004943D6"/>
    <w:rsid w:val="00495F93"/>
    <w:rsid w:val="004A48E8"/>
    <w:rsid w:val="004B15B5"/>
    <w:rsid w:val="004B5FDC"/>
    <w:rsid w:val="004C0457"/>
    <w:rsid w:val="004C1D2B"/>
    <w:rsid w:val="004D210A"/>
    <w:rsid w:val="004D534C"/>
    <w:rsid w:val="004D61FA"/>
    <w:rsid w:val="004E1C29"/>
    <w:rsid w:val="00505B01"/>
    <w:rsid w:val="00505D89"/>
    <w:rsid w:val="005069F5"/>
    <w:rsid w:val="0051053A"/>
    <w:rsid w:val="00511CC1"/>
    <w:rsid w:val="00513CC5"/>
    <w:rsid w:val="005211CC"/>
    <w:rsid w:val="005254EB"/>
    <w:rsid w:val="00532FC0"/>
    <w:rsid w:val="005330E4"/>
    <w:rsid w:val="00540A0F"/>
    <w:rsid w:val="00545087"/>
    <w:rsid w:val="00566466"/>
    <w:rsid w:val="00567D24"/>
    <w:rsid w:val="00572FCB"/>
    <w:rsid w:val="005735C2"/>
    <w:rsid w:val="005818B1"/>
    <w:rsid w:val="00587F7F"/>
    <w:rsid w:val="00590379"/>
    <w:rsid w:val="00597EE9"/>
    <w:rsid w:val="005A2C7C"/>
    <w:rsid w:val="005B1E59"/>
    <w:rsid w:val="005C0B66"/>
    <w:rsid w:val="005E1382"/>
    <w:rsid w:val="005E7F6A"/>
    <w:rsid w:val="005F15A0"/>
    <w:rsid w:val="005F3B79"/>
    <w:rsid w:val="00610130"/>
    <w:rsid w:val="006127AE"/>
    <w:rsid w:val="00617627"/>
    <w:rsid w:val="00631476"/>
    <w:rsid w:val="006361E3"/>
    <w:rsid w:val="00636D5D"/>
    <w:rsid w:val="00643D7A"/>
    <w:rsid w:val="006514D0"/>
    <w:rsid w:val="00654324"/>
    <w:rsid w:val="0068196D"/>
    <w:rsid w:val="006823ED"/>
    <w:rsid w:val="006848FD"/>
    <w:rsid w:val="00686A8E"/>
    <w:rsid w:val="00694E6F"/>
    <w:rsid w:val="006972D9"/>
    <w:rsid w:val="006C28BD"/>
    <w:rsid w:val="006C350F"/>
    <w:rsid w:val="006D67FC"/>
    <w:rsid w:val="006D7CE0"/>
    <w:rsid w:val="006E2BEB"/>
    <w:rsid w:val="006E6615"/>
    <w:rsid w:val="006F1079"/>
    <w:rsid w:val="006F217D"/>
    <w:rsid w:val="006F45DA"/>
    <w:rsid w:val="0070664F"/>
    <w:rsid w:val="00714DAA"/>
    <w:rsid w:val="00723939"/>
    <w:rsid w:val="00733738"/>
    <w:rsid w:val="00734E4D"/>
    <w:rsid w:val="007712AD"/>
    <w:rsid w:val="00782AC8"/>
    <w:rsid w:val="007A314E"/>
    <w:rsid w:val="007A5A3E"/>
    <w:rsid w:val="007B62BE"/>
    <w:rsid w:val="007B6AC4"/>
    <w:rsid w:val="007C55F2"/>
    <w:rsid w:val="007C63E0"/>
    <w:rsid w:val="007E0E43"/>
    <w:rsid w:val="007E7EBF"/>
    <w:rsid w:val="007F165D"/>
    <w:rsid w:val="007F4E90"/>
    <w:rsid w:val="007F7518"/>
    <w:rsid w:val="007F7F74"/>
    <w:rsid w:val="0080689E"/>
    <w:rsid w:val="00811E48"/>
    <w:rsid w:val="00814CD0"/>
    <w:rsid w:val="0082093D"/>
    <w:rsid w:val="00831AF0"/>
    <w:rsid w:val="00835E49"/>
    <w:rsid w:val="00840BE8"/>
    <w:rsid w:val="00844059"/>
    <w:rsid w:val="008605B2"/>
    <w:rsid w:val="00864C67"/>
    <w:rsid w:val="00877AF5"/>
    <w:rsid w:val="00884117"/>
    <w:rsid w:val="00884FE0"/>
    <w:rsid w:val="008A517A"/>
    <w:rsid w:val="008A5EF5"/>
    <w:rsid w:val="008A609C"/>
    <w:rsid w:val="008B2561"/>
    <w:rsid w:val="008D46D9"/>
    <w:rsid w:val="008E1555"/>
    <w:rsid w:val="008E43D2"/>
    <w:rsid w:val="008E47D8"/>
    <w:rsid w:val="008F249D"/>
    <w:rsid w:val="008F4461"/>
    <w:rsid w:val="00902187"/>
    <w:rsid w:val="00906011"/>
    <w:rsid w:val="00907E0D"/>
    <w:rsid w:val="0091303B"/>
    <w:rsid w:val="009131C4"/>
    <w:rsid w:val="0091391C"/>
    <w:rsid w:val="00914F0A"/>
    <w:rsid w:val="00927D4C"/>
    <w:rsid w:val="00946D33"/>
    <w:rsid w:val="009518A3"/>
    <w:rsid w:val="00956C46"/>
    <w:rsid w:val="00964A94"/>
    <w:rsid w:val="00972034"/>
    <w:rsid w:val="00976C1B"/>
    <w:rsid w:val="00995349"/>
    <w:rsid w:val="009A4AA8"/>
    <w:rsid w:val="009A6EBF"/>
    <w:rsid w:val="009A77F5"/>
    <w:rsid w:val="009B4B3F"/>
    <w:rsid w:val="009B4DE7"/>
    <w:rsid w:val="009C0EF6"/>
    <w:rsid w:val="009C32F0"/>
    <w:rsid w:val="009C5EC4"/>
    <w:rsid w:val="009C7399"/>
    <w:rsid w:val="009E0013"/>
    <w:rsid w:val="00A00BE1"/>
    <w:rsid w:val="00A04247"/>
    <w:rsid w:val="00A27B03"/>
    <w:rsid w:val="00A53319"/>
    <w:rsid w:val="00A5380B"/>
    <w:rsid w:val="00A56284"/>
    <w:rsid w:val="00A6528F"/>
    <w:rsid w:val="00A665C3"/>
    <w:rsid w:val="00A72645"/>
    <w:rsid w:val="00A747DD"/>
    <w:rsid w:val="00A90173"/>
    <w:rsid w:val="00A90CAD"/>
    <w:rsid w:val="00A92D7A"/>
    <w:rsid w:val="00A9419C"/>
    <w:rsid w:val="00A97AE1"/>
    <w:rsid w:val="00AA2BCA"/>
    <w:rsid w:val="00AB0177"/>
    <w:rsid w:val="00AC55B1"/>
    <w:rsid w:val="00AD175C"/>
    <w:rsid w:val="00AE2135"/>
    <w:rsid w:val="00AE65DC"/>
    <w:rsid w:val="00AE66F1"/>
    <w:rsid w:val="00AF043F"/>
    <w:rsid w:val="00AF0C87"/>
    <w:rsid w:val="00AF2059"/>
    <w:rsid w:val="00B03EC5"/>
    <w:rsid w:val="00B03EE1"/>
    <w:rsid w:val="00B041E9"/>
    <w:rsid w:val="00B05A45"/>
    <w:rsid w:val="00B12D68"/>
    <w:rsid w:val="00B15653"/>
    <w:rsid w:val="00B309CC"/>
    <w:rsid w:val="00B40740"/>
    <w:rsid w:val="00B45C78"/>
    <w:rsid w:val="00B477FE"/>
    <w:rsid w:val="00B51011"/>
    <w:rsid w:val="00B5429C"/>
    <w:rsid w:val="00B63123"/>
    <w:rsid w:val="00B6581F"/>
    <w:rsid w:val="00B84160"/>
    <w:rsid w:val="00B87F05"/>
    <w:rsid w:val="00BB0423"/>
    <w:rsid w:val="00BC7B4E"/>
    <w:rsid w:val="00BD0894"/>
    <w:rsid w:val="00BE0815"/>
    <w:rsid w:val="00BE3E14"/>
    <w:rsid w:val="00BF25E1"/>
    <w:rsid w:val="00BF321D"/>
    <w:rsid w:val="00C10E6F"/>
    <w:rsid w:val="00C10EF7"/>
    <w:rsid w:val="00C145B1"/>
    <w:rsid w:val="00C32BF8"/>
    <w:rsid w:val="00C36DD0"/>
    <w:rsid w:val="00C4550E"/>
    <w:rsid w:val="00C61580"/>
    <w:rsid w:val="00C619E2"/>
    <w:rsid w:val="00C6286E"/>
    <w:rsid w:val="00C63804"/>
    <w:rsid w:val="00C660DD"/>
    <w:rsid w:val="00CB409F"/>
    <w:rsid w:val="00CB46A6"/>
    <w:rsid w:val="00CD15AB"/>
    <w:rsid w:val="00CE3214"/>
    <w:rsid w:val="00CF2A1F"/>
    <w:rsid w:val="00CF712A"/>
    <w:rsid w:val="00D06124"/>
    <w:rsid w:val="00D11631"/>
    <w:rsid w:val="00D16D27"/>
    <w:rsid w:val="00D22B2F"/>
    <w:rsid w:val="00D235D7"/>
    <w:rsid w:val="00D31C88"/>
    <w:rsid w:val="00D35403"/>
    <w:rsid w:val="00D46104"/>
    <w:rsid w:val="00D820C5"/>
    <w:rsid w:val="00D84A33"/>
    <w:rsid w:val="00D87D9F"/>
    <w:rsid w:val="00DA1670"/>
    <w:rsid w:val="00DC0407"/>
    <w:rsid w:val="00DC3D19"/>
    <w:rsid w:val="00DE023E"/>
    <w:rsid w:val="00DF40CF"/>
    <w:rsid w:val="00E023AC"/>
    <w:rsid w:val="00E10F45"/>
    <w:rsid w:val="00E11C8B"/>
    <w:rsid w:val="00E17E36"/>
    <w:rsid w:val="00E33490"/>
    <w:rsid w:val="00E350FA"/>
    <w:rsid w:val="00E360AB"/>
    <w:rsid w:val="00E3610C"/>
    <w:rsid w:val="00E37BDB"/>
    <w:rsid w:val="00E37D01"/>
    <w:rsid w:val="00E5273A"/>
    <w:rsid w:val="00E60264"/>
    <w:rsid w:val="00E62966"/>
    <w:rsid w:val="00E64991"/>
    <w:rsid w:val="00E64E11"/>
    <w:rsid w:val="00E66FE6"/>
    <w:rsid w:val="00E67484"/>
    <w:rsid w:val="00E67E20"/>
    <w:rsid w:val="00E709A2"/>
    <w:rsid w:val="00E75083"/>
    <w:rsid w:val="00E816A0"/>
    <w:rsid w:val="00E8340A"/>
    <w:rsid w:val="00E84052"/>
    <w:rsid w:val="00E932C8"/>
    <w:rsid w:val="00EB188B"/>
    <w:rsid w:val="00EB389A"/>
    <w:rsid w:val="00EB661D"/>
    <w:rsid w:val="00EC426E"/>
    <w:rsid w:val="00ED75A8"/>
    <w:rsid w:val="00EF362E"/>
    <w:rsid w:val="00EF56F4"/>
    <w:rsid w:val="00EF6B8E"/>
    <w:rsid w:val="00F00B82"/>
    <w:rsid w:val="00F05754"/>
    <w:rsid w:val="00F0788A"/>
    <w:rsid w:val="00F12F7B"/>
    <w:rsid w:val="00F22AED"/>
    <w:rsid w:val="00F277ED"/>
    <w:rsid w:val="00F36E2F"/>
    <w:rsid w:val="00F37C75"/>
    <w:rsid w:val="00F52410"/>
    <w:rsid w:val="00F530EC"/>
    <w:rsid w:val="00F73F0A"/>
    <w:rsid w:val="00F82B33"/>
    <w:rsid w:val="00F86035"/>
    <w:rsid w:val="00F86322"/>
    <w:rsid w:val="00F9580E"/>
    <w:rsid w:val="00F96A78"/>
    <w:rsid w:val="00FA30BD"/>
    <w:rsid w:val="00FB3819"/>
    <w:rsid w:val="00FC5E45"/>
    <w:rsid w:val="00FD34B1"/>
    <w:rsid w:val="00FD5690"/>
    <w:rsid w:val="00FE0D0E"/>
    <w:rsid w:val="00FE2C83"/>
    <w:rsid w:val="00FF2220"/>
    <w:rsid w:val="00FF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62E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32BF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32BF8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11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6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440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DefaultParagraphFont"/>
    <w:uiPriority w:val="99"/>
    <w:rsid w:val="00012C83"/>
    <w:rPr>
      <w:rFonts w:cs="Times New Roman"/>
    </w:rPr>
  </w:style>
  <w:style w:type="character" w:customStyle="1" w:styleId="u">
    <w:name w:val="u"/>
    <w:basedOn w:val="DefaultParagraphFont"/>
    <w:uiPriority w:val="99"/>
    <w:rsid w:val="006127AE"/>
    <w:rPr>
      <w:rFonts w:cs="Times New Roman"/>
    </w:rPr>
  </w:style>
  <w:style w:type="character" w:customStyle="1" w:styleId="ep">
    <w:name w:val="ep"/>
    <w:basedOn w:val="DefaultParagraphFont"/>
    <w:uiPriority w:val="99"/>
    <w:rsid w:val="009A4AA8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951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518A3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34E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10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0EF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0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10EF7"/>
    <w:rPr>
      <w:rFonts w:cs="Times New Roman"/>
    </w:rPr>
  </w:style>
  <w:style w:type="paragraph" w:customStyle="1" w:styleId="ConsPlusNormal">
    <w:name w:val="ConsPlusNormal"/>
    <w:uiPriority w:val="99"/>
    <w:rsid w:val="00902187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E17E3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Normal"/>
    <w:uiPriority w:val="99"/>
    <w:rsid w:val="00C32BF8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ps">
    <w:name w:val="hps"/>
    <w:basedOn w:val="DefaultParagraphFont"/>
    <w:uiPriority w:val="99"/>
    <w:rsid w:val="00C32BF8"/>
    <w:rPr>
      <w:rFonts w:cs="Times New Roman"/>
    </w:rPr>
  </w:style>
  <w:style w:type="character" w:styleId="PageNumber">
    <w:name w:val="page number"/>
    <w:basedOn w:val="DefaultParagraphFont"/>
    <w:uiPriority w:val="99"/>
    <w:rsid w:val="004671B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39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39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39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39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15</Pages>
  <Words>2700</Words>
  <Characters>15392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cp:lastPrinted>2013-10-14T17:50:00Z</cp:lastPrinted>
  <dcterms:created xsi:type="dcterms:W3CDTF">2013-10-13T17:36:00Z</dcterms:created>
  <dcterms:modified xsi:type="dcterms:W3CDTF">2013-10-26T17:29:00Z</dcterms:modified>
</cp:coreProperties>
</file>